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bookmarkStart w:id="0" w:name="_GoBack" w:displacedByCustomXml="next"/>
    <w:bookmarkEnd w:id="0" w:displacedByCustomXml="next"/>
    <w:sdt>
      <w:sdtPr>
        <w:rPr>
          <w:rFonts w:asciiTheme="minorHAnsi" w:eastAsiaTheme="minorHAnsi" w:hAnsiTheme="minorHAnsi" w:cstheme="minorBidi"/>
          <w:color w:val="EEECE1" w:themeColor="background2"/>
          <w:spacing w:val="0"/>
          <w:kern w:val="0"/>
          <w:sz w:val="96"/>
          <w:szCs w:val="96"/>
        </w:rPr>
        <w:id w:val="2112314048"/>
        <w:docPartObj>
          <w:docPartGallery w:val="Cover Pages"/>
          <w:docPartUnique/>
        </w:docPartObj>
      </w:sdtPr>
      <w:sdtEndPr>
        <w:rPr>
          <w:rFonts w:ascii="Garamond" w:hAnsi="Garamond"/>
          <w:b/>
          <w:bCs/>
          <w:i/>
          <w:iCs/>
          <w:color w:val="FFFFFF" w:themeColor="background1"/>
          <w:sz w:val="22"/>
          <w:szCs w:val="22"/>
          <w:u w:val="single"/>
        </w:rPr>
      </w:sdtEndPr>
      <w:sdtContent>
        <w:tbl>
          <w:tblPr>
            <w:tblpPr w:leftFromText="187" w:rightFromText="187" w:bottomFromText="720" w:horzAnchor="margin" w:tblpYSpec="bottom"/>
            <w:tblW w:w="5000" w:type="pct"/>
            <w:tblLook w:val="04A0" w:firstRow="1" w:lastRow="0" w:firstColumn="1" w:lastColumn="0" w:noHBand="0" w:noVBand="1"/>
          </w:tblPr>
          <w:tblGrid>
            <w:gridCol w:w="9286"/>
          </w:tblGrid>
          <w:tr w:rsidR="008C0333">
            <w:tc>
              <w:tcPr>
                <w:tcW w:w="9266" w:type="dxa"/>
              </w:tcPr>
              <w:p w:rsidR="008C0333" w:rsidRDefault="00752083" w:rsidP="00AE644D">
                <w:pPr>
                  <w:pStyle w:val="Titre"/>
                  <w:rPr>
                    <w:color w:val="EEECE1" w:themeColor="background2"/>
                    <w:sz w:val="96"/>
                    <w:szCs w:val="96"/>
                  </w:rPr>
                </w:pPr>
                <w:sdt>
                  <w:sdtPr>
                    <w:rPr>
                      <w:color w:val="EEECE1" w:themeColor="background2"/>
                      <w:sz w:val="56"/>
                      <w:szCs w:val="56"/>
                    </w:rPr>
                    <w:alias w:val="Titre"/>
                    <w:id w:val="1274589637"/>
                    <w:dataBinding w:prefixMappings="xmlns:ns0='http://schemas.openxmlformats.org/package/2006/metadata/core-properties' xmlns:ns1='http://purl.org/dc/elements/1.1/'" w:xpath="/ns0:coreProperties[1]/ns1:title[1]" w:storeItemID="{6C3C8BC8-F283-45AE-878A-BAB7291924A1}"/>
                    <w:text/>
                  </w:sdtPr>
                  <w:sdtEndPr/>
                  <w:sdtContent>
                    <w:r w:rsidR="00AE644D" w:rsidRPr="000529A0">
                      <w:rPr>
                        <w:color w:val="EEECE1" w:themeColor="background2"/>
                        <w:sz w:val="56"/>
                        <w:szCs w:val="56"/>
                      </w:rPr>
                      <w:t>LIVRET D’ACCUEIL DU CORRESPONDANT HEMOVIGILANCE D’ETABLISSEMENT DE SANTE</w:t>
                    </w:r>
                  </w:sdtContent>
                </w:sdt>
              </w:p>
            </w:tc>
          </w:tr>
          <w:tr w:rsidR="008C0333">
            <w:tc>
              <w:tcPr>
                <w:tcW w:w="0" w:type="auto"/>
                <w:vAlign w:val="bottom"/>
              </w:tcPr>
              <w:p w:rsidR="008C0333" w:rsidRDefault="00752083">
                <w:pPr>
                  <w:pStyle w:val="Sous-titre"/>
                </w:pPr>
                <w:sdt>
                  <w:sdtPr>
                    <w:rPr>
                      <w:color w:val="FFFFFF" w:themeColor="background1"/>
                    </w:rPr>
                    <w:alias w:val="Sous-titre"/>
                    <w:id w:val="1194108113"/>
                    <w:dataBinding w:prefixMappings="xmlns:ns0='http://schemas.openxmlformats.org/package/2006/metadata/core-properties' xmlns:ns1='http://purl.org/dc/elements/1.1/'" w:xpath="/ns0:coreProperties[1]/ns1:subject[1]" w:storeItemID="{6C3C8BC8-F283-45AE-878A-BAB7291924A1}"/>
                    <w:text/>
                  </w:sdtPr>
                  <w:sdtEndPr/>
                  <w:sdtContent>
                    <w:r w:rsidR="00721CB0">
                      <w:rPr>
                        <w:color w:val="FFFFFF" w:themeColor="background1"/>
                      </w:rPr>
                      <w:t>Prise de fonction CHV</w:t>
                    </w:r>
                  </w:sdtContent>
                </w:sdt>
              </w:p>
            </w:tc>
          </w:tr>
          <w:tr w:rsidR="008C0333">
            <w:trPr>
              <w:trHeight w:val="1152"/>
            </w:trPr>
            <w:tc>
              <w:tcPr>
                <w:tcW w:w="0" w:type="auto"/>
                <w:vAlign w:val="bottom"/>
              </w:tcPr>
              <w:p w:rsidR="008C0333" w:rsidRDefault="00752083" w:rsidP="00AE644D">
                <w:pPr>
                  <w:rPr>
                    <w:color w:val="FFFFFF" w:themeColor="background1"/>
                  </w:rPr>
                </w:pPr>
                <w:sdt>
                  <w:sdtPr>
                    <w:rPr>
                      <w:color w:val="FFFFFF" w:themeColor="background1"/>
                    </w:rPr>
                    <w:alias w:val="Résumé"/>
                    <w:id w:val="1304881009"/>
                    <w:dataBinding w:prefixMappings="xmlns:ns0='http://schemas.microsoft.com/office/2006/coverPageProps'" w:xpath="/ns0:CoverPageProperties[1]/ns0:Abstract[1]" w:storeItemID="{55AF091B-3C7A-41E3-B477-F2FDAA23CFDA}"/>
                    <w:text/>
                  </w:sdtPr>
                  <w:sdtEndPr/>
                  <w:sdtContent>
                    <w:r w:rsidR="00AE644D">
                      <w:rPr>
                        <w:color w:val="FFFFFF" w:themeColor="background1"/>
                      </w:rPr>
                      <w:t xml:space="preserve">Livret élaboré par la cellule régionale d’hémovigilance PACA et destiné à être transmis au correspondant d’hémovigilance en établissement de santé lors de sa prise de fonction </w:t>
                    </w:r>
                  </w:sdtContent>
                </w:sdt>
                <w:r w:rsidR="008C0333">
                  <w:rPr>
                    <w:color w:val="FFFFFF" w:themeColor="background1"/>
                  </w:rPr>
                  <w:t xml:space="preserve"> </w:t>
                </w:r>
              </w:p>
            </w:tc>
          </w:tr>
          <w:tr w:rsidR="008C0333">
            <w:trPr>
              <w:trHeight w:val="432"/>
            </w:trPr>
            <w:tc>
              <w:tcPr>
                <w:tcW w:w="0" w:type="auto"/>
                <w:vAlign w:val="bottom"/>
              </w:tcPr>
              <w:p w:rsidR="008C0333" w:rsidRDefault="008C0333">
                <w:pPr>
                  <w:rPr>
                    <w:color w:val="1F497D" w:themeColor="text2"/>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55BB3" w:rsidTr="00F55BB3">
            <w:tc>
              <w:tcPr>
                <w:tcW w:w="9210" w:type="dxa"/>
              </w:tcPr>
              <w:p w:rsidR="00F55BB3" w:rsidRDefault="00F55BB3" w:rsidP="00F55BB3">
                <w:pPr>
                  <w:jc w:val="center"/>
                  <w:rPr>
                    <w:rFonts w:ascii="Garamond" w:eastAsiaTheme="majorEastAsia" w:hAnsi="Garamond" w:cstheme="majorBidi"/>
                    <w:b/>
                    <w:bCs/>
                    <w:color w:val="FFFFFF" w:themeColor="background1"/>
                    <w:sz w:val="24"/>
                    <w:szCs w:val="24"/>
                    <w:u w:val="single"/>
                  </w:rPr>
                </w:pPr>
                <w:r>
                  <w:rPr>
                    <w:noProof/>
                    <w:lang w:eastAsia="fr-FR"/>
                  </w:rPr>
                  <w:drawing>
                    <wp:inline distT="0" distB="0" distL="0" distR="0" wp14:anchorId="137CA34E" wp14:editId="2F91992A">
                      <wp:extent cx="4757420" cy="4187825"/>
                      <wp:effectExtent l="0" t="0" r="5080" b="0"/>
                      <wp:docPr id="12" name="Image 12" descr="http://couchwiki.org/files/couch/images/3/3b/Cartepa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uchwiki.org/files/couch/images/3/3b/Cartepac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7420" cy="4187825"/>
                              </a:xfrm>
                              <a:prstGeom prst="rect">
                                <a:avLst/>
                              </a:prstGeom>
                              <a:noFill/>
                              <a:ln>
                                <a:noFill/>
                              </a:ln>
                            </pic:spPr>
                          </pic:pic>
                        </a:graphicData>
                      </a:graphic>
                    </wp:inline>
                  </w:drawing>
                </w:r>
              </w:p>
            </w:tc>
          </w:tr>
        </w:tbl>
        <w:p w:rsidR="00AE644D" w:rsidRDefault="008C0333">
          <w:pPr>
            <w:rPr>
              <w:rFonts w:ascii="Garamond" w:eastAsiaTheme="majorEastAsia" w:hAnsi="Garamond" w:cstheme="majorBidi"/>
              <w:b/>
              <w:bCs/>
              <w:color w:val="FFFFFF" w:themeColor="background1"/>
              <w:sz w:val="24"/>
              <w:szCs w:val="24"/>
              <w:u w:val="single"/>
            </w:rPr>
          </w:pPr>
          <w:r w:rsidRPr="00AE644D">
            <w:rPr>
              <w:noProof/>
              <w:color w:val="FFFFFF" w:themeColor="background1"/>
              <w:lang w:eastAsia="fr-FR"/>
            </w:rPr>
            <mc:AlternateContent>
              <mc:Choice Requires="wps">
                <w:drawing>
                  <wp:anchor distT="0" distB="0" distL="114300" distR="114300" simplePos="0" relativeHeight="251661312" behindDoc="1" locked="0" layoutInCell="1" allowOverlap="1" wp14:anchorId="7FADB213" wp14:editId="45959097">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sidRPr="00AE644D">
            <w:rPr>
              <w:noProof/>
              <w:color w:val="FFFFFF" w:themeColor="background1"/>
              <w:lang w:eastAsia="fr-FR"/>
            </w:rPr>
            <mc:AlternateContent>
              <mc:Choice Requires="wps">
                <w:drawing>
                  <wp:anchor distT="0" distB="0" distL="114300" distR="114300" simplePos="0" relativeHeight="251662336" behindDoc="0" locked="0" layoutInCell="1" allowOverlap="1" wp14:anchorId="15D8DD48" wp14:editId="3BADC044">
                    <wp:simplePos x="0" y="0"/>
                    <mc:AlternateContent>
                      <mc:Choice Requires="wp14">
                        <wp:positionH relativeFrom="rightMargin">
                          <wp14:pctPosHOffset>15000</wp14:pctPosHOffset>
                        </wp:positionH>
                      </mc:Choice>
                      <mc:Fallback>
                        <wp:positionH relativeFrom="page">
                          <wp:posOffset>6794500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2336;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sidRPr="00AE644D">
            <w:rPr>
              <w:noProof/>
              <w:color w:val="FFFFFF" w:themeColor="background1"/>
              <w:lang w:eastAsia="fr-FR"/>
            </w:rPr>
            <mc:AlternateContent>
              <mc:Choice Requires="wps">
                <w:drawing>
                  <wp:anchor distT="0" distB="0" distL="114300" distR="114300" simplePos="0" relativeHeight="251663360" behindDoc="0" locked="0" layoutInCell="1" allowOverlap="1" wp14:anchorId="13B5B185" wp14:editId="3C67F35D">
                    <wp:simplePos x="0" y="0"/>
                    <mc:AlternateContent>
                      <mc:Choice Requires="wp14">
                        <wp:positionH relativeFrom="rightMargin">
                          <wp14:pctPosHOffset>31000</wp14:pctPosHOffset>
                        </wp:positionH>
                      </mc:Choice>
                      <mc:Fallback>
                        <wp:positionH relativeFrom="page">
                          <wp:posOffset>6938645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3360;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p>
        <w:p w:rsidR="00AE644D" w:rsidRDefault="00AE644D">
          <w:pPr>
            <w:rPr>
              <w:rFonts w:ascii="Garamond" w:eastAsiaTheme="majorEastAsia" w:hAnsi="Garamond" w:cstheme="majorBidi"/>
              <w:b/>
              <w:bCs/>
              <w:color w:val="FFFFFF" w:themeColor="background1"/>
              <w:sz w:val="24"/>
              <w:szCs w:val="24"/>
              <w:u w:val="single"/>
            </w:rPr>
          </w:pPr>
        </w:p>
        <w:p w:rsidR="00AE644D" w:rsidRDefault="00AE644D">
          <w:pPr>
            <w:rPr>
              <w:rFonts w:ascii="Garamond" w:eastAsiaTheme="majorEastAsia" w:hAnsi="Garamond" w:cstheme="majorBidi"/>
              <w:b/>
              <w:bCs/>
              <w:color w:val="FFFFFF" w:themeColor="background1"/>
              <w:sz w:val="24"/>
              <w:szCs w:val="24"/>
              <w:u w:val="single"/>
            </w:rPr>
          </w:pPr>
        </w:p>
        <w:p w:rsidR="00AE644D" w:rsidRDefault="00AE644D">
          <w:pPr>
            <w:rPr>
              <w:rFonts w:ascii="Garamond" w:eastAsiaTheme="majorEastAsia" w:hAnsi="Garamond" w:cstheme="majorBidi"/>
              <w:b/>
              <w:bCs/>
              <w:color w:val="FFFFFF" w:themeColor="background1"/>
              <w:sz w:val="24"/>
              <w:szCs w:val="24"/>
              <w:u w:val="single"/>
            </w:rPr>
          </w:pPr>
        </w:p>
        <w:p w:rsidR="008C0333" w:rsidRPr="00AE644D" w:rsidRDefault="00752083">
          <w:pPr>
            <w:rPr>
              <w:rFonts w:ascii="Garamond" w:eastAsiaTheme="majorEastAsia" w:hAnsi="Garamond" w:cstheme="majorBidi"/>
              <w:b/>
              <w:bCs/>
              <w:color w:val="FFFFFF" w:themeColor="background1"/>
              <w:sz w:val="24"/>
              <w:szCs w:val="24"/>
              <w:u w:val="single"/>
            </w:rPr>
          </w:pPr>
        </w:p>
      </w:sdtContent>
    </w:sdt>
    <w:p w:rsidR="00555892" w:rsidRDefault="00555892">
      <w:pPr>
        <w:rPr>
          <w:rFonts w:eastAsiaTheme="majorEastAsia" w:cstheme="majorBidi"/>
          <w:b/>
          <w:bCs/>
          <w:color w:val="365F91" w:themeColor="accent1" w:themeShade="BF"/>
          <w:sz w:val="24"/>
          <w:szCs w:val="24"/>
          <w:u w:val="single"/>
        </w:rPr>
      </w:pPr>
      <w:r>
        <w:rPr>
          <w:sz w:val="24"/>
          <w:szCs w:val="24"/>
          <w:u w:val="single"/>
        </w:rPr>
        <w:br w:type="page"/>
      </w:r>
    </w:p>
    <w:p w:rsidR="000166C0" w:rsidRDefault="000166C0">
      <w:pPr>
        <w:pStyle w:val="TM1"/>
        <w:tabs>
          <w:tab w:val="right" w:leader="dot" w:pos="9060"/>
        </w:tabs>
        <w:rPr>
          <w:rFonts w:eastAsiaTheme="minorEastAsia"/>
          <w:b w:val="0"/>
          <w:bCs w:val="0"/>
          <w:caps w:val="0"/>
          <w:noProof/>
          <w:sz w:val="22"/>
          <w:szCs w:val="22"/>
          <w:lang w:eastAsia="fr-FR"/>
        </w:rPr>
      </w:pPr>
      <w:r>
        <w:rPr>
          <w:sz w:val="24"/>
          <w:szCs w:val="24"/>
          <w:u w:val="single"/>
        </w:rPr>
        <w:lastRenderedPageBreak/>
        <w:fldChar w:fldCharType="begin"/>
      </w:r>
      <w:r>
        <w:rPr>
          <w:sz w:val="24"/>
          <w:szCs w:val="24"/>
          <w:u w:val="single"/>
        </w:rPr>
        <w:instrText xml:space="preserve"> TOC \o "1-1" \u </w:instrText>
      </w:r>
      <w:r>
        <w:rPr>
          <w:sz w:val="24"/>
          <w:szCs w:val="24"/>
          <w:u w:val="single"/>
        </w:rPr>
        <w:fldChar w:fldCharType="separate"/>
      </w:r>
      <w:r w:rsidRPr="000C3CEE">
        <w:rPr>
          <w:noProof/>
          <w:u w:val="single"/>
        </w:rPr>
        <w:t>Présentation de la cellule régionale d’hémovigilance et sécurité transfusionnelle (CRHST)</w:t>
      </w:r>
      <w:r>
        <w:rPr>
          <w:noProof/>
        </w:rPr>
        <w:tab/>
      </w:r>
      <w:r>
        <w:rPr>
          <w:noProof/>
        </w:rPr>
        <w:fldChar w:fldCharType="begin"/>
      </w:r>
      <w:r>
        <w:rPr>
          <w:noProof/>
        </w:rPr>
        <w:instrText xml:space="preserve"> PAGEREF _Toc505089294 \h </w:instrText>
      </w:r>
      <w:r>
        <w:rPr>
          <w:noProof/>
        </w:rPr>
      </w:r>
      <w:r>
        <w:rPr>
          <w:noProof/>
        </w:rPr>
        <w:fldChar w:fldCharType="separate"/>
      </w:r>
      <w:r>
        <w:rPr>
          <w:noProof/>
        </w:rPr>
        <w:t>2</w:t>
      </w:r>
      <w:r>
        <w:rPr>
          <w:noProof/>
        </w:rPr>
        <w:fldChar w:fldCharType="end"/>
      </w:r>
    </w:p>
    <w:p w:rsidR="000166C0" w:rsidRDefault="000166C0">
      <w:pPr>
        <w:pStyle w:val="TM1"/>
        <w:tabs>
          <w:tab w:val="right" w:leader="dot" w:pos="9060"/>
        </w:tabs>
        <w:rPr>
          <w:rFonts w:eastAsiaTheme="minorEastAsia"/>
          <w:b w:val="0"/>
          <w:bCs w:val="0"/>
          <w:caps w:val="0"/>
          <w:noProof/>
          <w:sz w:val="22"/>
          <w:szCs w:val="22"/>
          <w:lang w:eastAsia="fr-FR"/>
        </w:rPr>
      </w:pPr>
      <w:r w:rsidRPr="000C3CEE">
        <w:rPr>
          <w:noProof/>
          <w:u w:val="single"/>
        </w:rPr>
        <w:t>1- Traçabilité des PSL</w:t>
      </w:r>
      <w:r>
        <w:rPr>
          <w:noProof/>
        </w:rPr>
        <w:tab/>
      </w:r>
      <w:r>
        <w:rPr>
          <w:noProof/>
        </w:rPr>
        <w:fldChar w:fldCharType="begin"/>
      </w:r>
      <w:r>
        <w:rPr>
          <w:noProof/>
        </w:rPr>
        <w:instrText xml:space="preserve"> PAGEREF _Toc505089295 \h </w:instrText>
      </w:r>
      <w:r>
        <w:rPr>
          <w:noProof/>
        </w:rPr>
      </w:r>
      <w:r>
        <w:rPr>
          <w:noProof/>
        </w:rPr>
        <w:fldChar w:fldCharType="separate"/>
      </w:r>
      <w:r>
        <w:rPr>
          <w:noProof/>
        </w:rPr>
        <w:t>3</w:t>
      </w:r>
      <w:r>
        <w:rPr>
          <w:noProof/>
        </w:rPr>
        <w:fldChar w:fldCharType="end"/>
      </w:r>
    </w:p>
    <w:p w:rsidR="000166C0" w:rsidRDefault="000166C0">
      <w:pPr>
        <w:pStyle w:val="TM1"/>
        <w:tabs>
          <w:tab w:val="right" w:leader="dot" w:pos="9060"/>
        </w:tabs>
        <w:rPr>
          <w:rFonts w:eastAsiaTheme="minorEastAsia"/>
          <w:b w:val="0"/>
          <w:bCs w:val="0"/>
          <w:caps w:val="0"/>
          <w:noProof/>
          <w:sz w:val="22"/>
          <w:szCs w:val="22"/>
          <w:lang w:eastAsia="fr-FR"/>
        </w:rPr>
      </w:pPr>
      <w:r w:rsidRPr="000C3CEE">
        <w:rPr>
          <w:noProof/>
          <w:u w:val="single"/>
        </w:rPr>
        <w:t>2- La sécurité des patients</w:t>
      </w:r>
      <w:r>
        <w:rPr>
          <w:noProof/>
        </w:rPr>
        <w:tab/>
      </w:r>
      <w:r>
        <w:rPr>
          <w:noProof/>
        </w:rPr>
        <w:fldChar w:fldCharType="begin"/>
      </w:r>
      <w:r>
        <w:rPr>
          <w:noProof/>
        </w:rPr>
        <w:instrText xml:space="preserve"> PAGEREF _Toc505089296 \h </w:instrText>
      </w:r>
      <w:r>
        <w:rPr>
          <w:noProof/>
        </w:rPr>
      </w:r>
      <w:r>
        <w:rPr>
          <w:noProof/>
        </w:rPr>
        <w:fldChar w:fldCharType="separate"/>
      </w:r>
      <w:r>
        <w:rPr>
          <w:noProof/>
        </w:rPr>
        <w:t>3</w:t>
      </w:r>
      <w:r>
        <w:rPr>
          <w:noProof/>
        </w:rPr>
        <w:fldChar w:fldCharType="end"/>
      </w:r>
    </w:p>
    <w:p w:rsidR="000166C0" w:rsidRDefault="000166C0">
      <w:pPr>
        <w:pStyle w:val="TM1"/>
        <w:tabs>
          <w:tab w:val="right" w:leader="dot" w:pos="9060"/>
        </w:tabs>
        <w:rPr>
          <w:rFonts w:eastAsiaTheme="minorEastAsia"/>
          <w:b w:val="0"/>
          <w:bCs w:val="0"/>
          <w:caps w:val="0"/>
          <w:noProof/>
          <w:sz w:val="22"/>
          <w:szCs w:val="22"/>
          <w:lang w:eastAsia="fr-FR"/>
        </w:rPr>
      </w:pPr>
      <w:r w:rsidRPr="000C3CEE">
        <w:rPr>
          <w:noProof/>
          <w:u w:val="single"/>
        </w:rPr>
        <w:t>3- Déclaration des incidents transfusionnels :</w:t>
      </w:r>
      <w:r>
        <w:rPr>
          <w:noProof/>
        </w:rPr>
        <w:tab/>
      </w:r>
      <w:r>
        <w:rPr>
          <w:noProof/>
        </w:rPr>
        <w:fldChar w:fldCharType="begin"/>
      </w:r>
      <w:r>
        <w:rPr>
          <w:noProof/>
        </w:rPr>
        <w:instrText xml:space="preserve"> PAGEREF _Toc505089297 \h </w:instrText>
      </w:r>
      <w:r>
        <w:rPr>
          <w:noProof/>
        </w:rPr>
      </w:r>
      <w:r>
        <w:rPr>
          <w:noProof/>
        </w:rPr>
        <w:fldChar w:fldCharType="separate"/>
      </w:r>
      <w:r>
        <w:rPr>
          <w:noProof/>
        </w:rPr>
        <w:t>3</w:t>
      </w:r>
      <w:r>
        <w:rPr>
          <w:noProof/>
        </w:rPr>
        <w:fldChar w:fldCharType="end"/>
      </w:r>
    </w:p>
    <w:p w:rsidR="000166C0" w:rsidRDefault="000166C0">
      <w:pPr>
        <w:pStyle w:val="TM1"/>
        <w:tabs>
          <w:tab w:val="right" w:leader="dot" w:pos="9060"/>
        </w:tabs>
        <w:rPr>
          <w:rFonts w:eastAsiaTheme="minorEastAsia"/>
          <w:b w:val="0"/>
          <w:bCs w:val="0"/>
          <w:caps w:val="0"/>
          <w:noProof/>
          <w:sz w:val="22"/>
          <w:szCs w:val="22"/>
          <w:lang w:eastAsia="fr-FR"/>
        </w:rPr>
      </w:pPr>
      <w:r w:rsidRPr="000C3CEE">
        <w:rPr>
          <w:noProof/>
          <w:u w:val="single"/>
        </w:rPr>
        <w:t>4- Enquête annuelle de l’ANSM</w:t>
      </w:r>
      <w:r>
        <w:rPr>
          <w:noProof/>
        </w:rPr>
        <w:tab/>
      </w:r>
      <w:r>
        <w:rPr>
          <w:noProof/>
        </w:rPr>
        <w:fldChar w:fldCharType="begin"/>
      </w:r>
      <w:r>
        <w:rPr>
          <w:noProof/>
        </w:rPr>
        <w:instrText xml:space="preserve"> PAGEREF _Toc505089298 \h </w:instrText>
      </w:r>
      <w:r>
        <w:rPr>
          <w:noProof/>
        </w:rPr>
      </w:r>
      <w:r>
        <w:rPr>
          <w:noProof/>
        </w:rPr>
        <w:fldChar w:fldCharType="separate"/>
      </w:r>
      <w:r>
        <w:rPr>
          <w:noProof/>
        </w:rPr>
        <w:t>4</w:t>
      </w:r>
      <w:r>
        <w:rPr>
          <w:noProof/>
        </w:rPr>
        <w:fldChar w:fldCharType="end"/>
      </w:r>
    </w:p>
    <w:p w:rsidR="000166C0" w:rsidRDefault="000166C0">
      <w:pPr>
        <w:pStyle w:val="TM1"/>
        <w:tabs>
          <w:tab w:val="right" w:leader="dot" w:pos="9060"/>
        </w:tabs>
        <w:rPr>
          <w:rFonts w:eastAsiaTheme="minorEastAsia"/>
          <w:b w:val="0"/>
          <w:bCs w:val="0"/>
          <w:caps w:val="0"/>
          <w:noProof/>
          <w:sz w:val="22"/>
          <w:szCs w:val="22"/>
          <w:lang w:eastAsia="fr-FR"/>
        </w:rPr>
      </w:pPr>
      <w:r w:rsidRPr="000C3CEE">
        <w:rPr>
          <w:noProof/>
          <w:u w:val="single"/>
        </w:rPr>
        <w:t>5- SCSTH : (sous)-comité de sécurité transfusionnelle et hémovigilance</w:t>
      </w:r>
      <w:r>
        <w:rPr>
          <w:noProof/>
        </w:rPr>
        <w:tab/>
      </w:r>
      <w:r>
        <w:rPr>
          <w:noProof/>
        </w:rPr>
        <w:fldChar w:fldCharType="begin"/>
      </w:r>
      <w:r>
        <w:rPr>
          <w:noProof/>
        </w:rPr>
        <w:instrText xml:space="preserve"> PAGEREF _Toc505089299 \h </w:instrText>
      </w:r>
      <w:r>
        <w:rPr>
          <w:noProof/>
        </w:rPr>
      </w:r>
      <w:r>
        <w:rPr>
          <w:noProof/>
        </w:rPr>
        <w:fldChar w:fldCharType="separate"/>
      </w:r>
      <w:r>
        <w:rPr>
          <w:noProof/>
        </w:rPr>
        <w:t>4</w:t>
      </w:r>
      <w:r>
        <w:rPr>
          <w:noProof/>
        </w:rPr>
        <w:fldChar w:fldCharType="end"/>
      </w:r>
    </w:p>
    <w:p w:rsidR="000166C0" w:rsidRDefault="000166C0">
      <w:pPr>
        <w:pStyle w:val="TM1"/>
        <w:tabs>
          <w:tab w:val="right" w:leader="dot" w:pos="9060"/>
        </w:tabs>
        <w:rPr>
          <w:rFonts w:eastAsiaTheme="minorEastAsia"/>
          <w:b w:val="0"/>
          <w:bCs w:val="0"/>
          <w:caps w:val="0"/>
          <w:noProof/>
          <w:sz w:val="22"/>
          <w:szCs w:val="22"/>
          <w:lang w:eastAsia="fr-FR"/>
        </w:rPr>
      </w:pPr>
      <w:r w:rsidRPr="000C3CEE">
        <w:rPr>
          <w:noProof/>
          <w:u w:val="single"/>
        </w:rPr>
        <w:t>5- Elaboration de procédures ou protocoles de sécurité transfusionnelle et hémovigilance</w:t>
      </w:r>
      <w:r>
        <w:rPr>
          <w:noProof/>
        </w:rPr>
        <w:tab/>
      </w:r>
      <w:r>
        <w:rPr>
          <w:noProof/>
        </w:rPr>
        <w:fldChar w:fldCharType="begin"/>
      </w:r>
      <w:r>
        <w:rPr>
          <w:noProof/>
        </w:rPr>
        <w:instrText xml:space="preserve"> PAGEREF _Toc505089300 \h </w:instrText>
      </w:r>
      <w:r>
        <w:rPr>
          <w:noProof/>
        </w:rPr>
      </w:r>
      <w:r>
        <w:rPr>
          <w:noProof/>
        </w:rPr>
        <w:fldChar w:fldCharType="separate"/>
      </w:r>
      <w:r>
        <w:rPr>
          <w:noProof/>
        </w:rPr>
        <w:t>4</w:t>
      </w:r>
      <w:r>
        <w:rPr>
          <w:noProof/>
        </w:rPr>
        <w:fldChar w:fldCharType="end"/>
      </w:r>
    </w:p>
    <w:p w:rsidR="000166C0" w:rsidRDefault="000166C0">
      <w:pPr>
        <w:pStyle w:val="TM1"/>
        <w:tabs>
          <w:tab w:val="right" w:leader="dot" w:pos="9060"/>
        </w:tabs>
        <w:rPr>
          <w:rFonts w:eastAsiaTheme="minorEastAsia"/>
          <w:b w:val="0"/>
          <w:bCs w:val="0"/>
          <w:caps w:val="0"/>
          <w:noProof/>
          <w:sz w:val="22"/>
          <w:szCs w:val="22"/>
          <w:lang w:eastAsia="fr-FR"/>
        </w:rPr>
      </w:pPr>
      <w:r w:rsidRPr="000C3CEE">
        <w:rPr>
          <w:noProof/>
          <w:u w:val="single"/>
        </w:rPr>
        <w:t>5- Actions de formation</w:t>
      </w:r>
      <w:r>
        <w:rPr>
          <w:noProof/>
        </w:rPr>
        <w:tab/>
      </w:r>
      <w:r>
        <w:rPr>
          <w:noProof/>
        </w:rPr>
        <w:fldChar w:fldCharType="begin"/>
      </w:r>
      <w:r>
        <w:rPr>
          <w:noProof/>
        </w:rPr>
        <w:instrText xml:space="preserve"> PAGEREF _Toc505089301 \h </w:instrText>
      </w:r>
      <w:r>
        <w:rPr>
          <w:noProof/>
        </w:rPr>
      </w:r>
      <w:r>
        <w:rPr>
          <w:noProof/>
        </w:rPr>
        <w:fldChar w:fldCharType="separate"/>
      </w:r>
      <w:r>
        <w:rPr>
          <w:noProof/>
        </w:rPr>
        <w:t>4</w:t>
      </w:r>
      <w:r>
        <w:rPr>
          <w:noProof/>
        </w:rPr>
        <w:fldChar w:fldCharType="end"/>
      </w:r>
    </w:p>
    <w:p w:rsidR="000166C0" w:rsidRDefault="000166C0">
      <w:pPr>
        <w:pStyle w:val="TM1"/>
        <w:tabs>
          <w:tab w:val="right" w:leader="dot" w:pos="9060"/>
        </w:tabs>
        <w:rPr>
          <w:rFonts w:eastAsiaTheme="minorEastAsia"/>
          <w:b w:val="0"/>
          <w:bCs w:val="0"/>
          <w:caps w:val="0"/>
          <w:noProof/>
          <w:sz w:val="22"/>
          <w:szCs w:val="22"/>
          <w:lang w:eastAsia="fr-FR"/>
        </w:rPr>
      </w:pPr>
      <w:r w:rsidRPr="000C3CEE">
        <w:rPr>
          <w:noProof/>
          <w:u w:val="single"/>
        </w:rPr>
        <w:t>6- Surveillance des dépôts</w:t>
      </w:r>
      <w:r>
        <w:rPr>
          <w:noProof/>
        </w:rPr>
        <w:tab/>
      </w:r>
      <w:r>
        <w:rPr>
          <w:noProof/>
        </w:rPr>
        <w:fldChar w:fldCharType="begin"/>
      </w:r>
      <w:r>
        <w:rPr>
          <w:noProof/>
        </w:rPr>
        <w:instrText xml:space="preserve"> PAGEREF _Toc505089302 \h </w:instrText>
      </w:r>
      <w:r>
        <w:rPr>
          <w:noProof/>
        </w:rPr>
      </w:r>
      <w:r>
        <w:rPr>
          <w:noProof/>
        </w:rPr>
        <w:fldChar w:fldCharType="separate"/>
      </w:r>
      <w:r>
        <w:rPr>
          <w:noProof/>
        </w:rPr>
        <w:t>5</w:t>
      </w:r>
      <w:r>
        <w:rPr>
          <w:noProof/>
        </w:rPr>
        <w:fldChar w:fldCharType="end"/>
      </w:r>
    </w:p>
    <w:p w:rsidR="000166C0" w:rsidRDefault="000166C0">
      <w:pPr>
        <w:pStyle w:val="TM1"/>
        <w:tabs>
          <w:tab w:val="right" w:leader="dot" w:pos="9060"/>
        </w:tabs>
        <w:rPr>
          <w:rFonts w:eastAsiaTheme="minorEastAsia"/>
          <w:b w:val="0"/>
          <w:bCs w:val="0"/>
          <w:caps w:val="0"/>
          <w:noProof/>
          <w:sz w:val="22"/>
          <w:szCs w:val="22"/>
          <w:lang w:eastAsia="fr-FR"/>
        </w:rPr>
      </w:pPr>
      <w:r w:rsidRPr="000C3CEE">
        <w:rPr>
          <w:noProof/>
          <w:u w:val="single"/>
        </w:rPr>
        <w:t>7- Abréviations</w:t>
      </w:r>
      <w:r>
        <w:rPr>
          <w:noProof/>
        </w:rPr>
        <w:tab/>
      </w:r>
      <w:r>
        <w:rPr>
          <w:noProof/>
        </w:rPr>
        <w:fldChar w:fldCharType="begin"/>
      </w:r>
      <w:r>
        <w:rPr>
          <w:noProof/>
        </w:rPr>
        <w:instrText xml:space="preserve"> PAGEREF _Toc505089303 \h </w:instrText>
      </w:r>
      <w:r>
        <w:rPr>
          <w:noProof/>
        </w:rPr>
      </w:r>
      <w:r>
        <w:rPr>
          <w:noProof/>
        </w:rPr>
        <w:fldChar w:fldCharType="separate"/>
      </w:r>
      <w:r>
        <w:rPr>
          <w:noProof/>
        </w:rPr>
        <w:t>5</w:t>
      </w:r>
      <w:r>
        <w:rPr>
          <w:noProof/>
        </w:rPr>
        <w:fldChar w:fldCharType="end"/>
      </w:r>
    </w:p>
    <w:p w:rsidR="00555892" w:rsidRDefault="000166C0">
      <w:pPr>
        <w:rPr>
          <w:rFonts w:eastAsiaTheme="majorEastAsia" w:cstheme="majorBidi"/>
          <w:b/>
          <w:bCs/>
          <w:color w:val="365F91" w:themeColor="accent1" w:themeShade="BF"/>
          <w:sz w:val="24"/>
          <w:szCs w:val="24"/>
          <w:u w:val="single"/>
        </w:rPr>
      </w:pPr>
      <w:r>
        <w:rPr>
          <w:sz w:val="24"/>
          <w:szCs w:val="24"/>
          <w:u w:val="single"/>
        </w:rPr>
        <w:fldChar w:fldCharType="end"/>
      </w:r>
      <w:r w:rsidR="00555892">
        <w:rPr>
          <w:sz w:val="24"/>
          <w:szCs w:val="24"/>
          <w:u w:val="single"/>
        </w:rPr>
        <w:br w:type="page"/>
      </w:r>
    </w:p>
    <w:p w:rsidR="001E1288" w:rsidRPr="007F398A" w:rsidRDefault="001E1288" w:rsidP="00006EFF">
      <w:pPr>
        <w:pStyle w:val="Titre1"/>
        <w:rPr>
          <w:rFonts w:asciiTheme="minorHAnsi" w:hAnsiTheme="minorHAnsi"/>
          <w:sz w:val="24"/>
          <w:szCs w:val="24"/>
          <w:u w:val="single"/>
        </w:rPr>
      </w:pPr>
      <w:bookmarkStart w:id="1" w:name="_Toc505089294"/>
      <w:r w:rsidRPr="007F398A">
        <w:rPr>
          <w:rFonts w:asciiTheme="minorHAnsi" w:hAnsiTheme="minorHAnsi"/>
          <w:sz w:val="24"/>
          <w:szCs w:val="24"/>
          <w:u w:val="single"/>
        </w:rPr>
        <w:lastRenderedPageBreak/>
        <w:t xml:space="preserve">Présentation de la cellule régionale d’hémovigilance </w:t>
      </w:r>
      <w:r w:rsidR="00054BEA">
        <w:rPr>
          <w:rFonts w:asciiTheme="minorHAnsi" w:hAnsiTheme="minorHAnsi"/>
          <w:sz w:val="24"/>
          <w:szCs w:val="24"/>
          <w:u w:val="single"/>
        </w:rPr>
        <w:t>et sécurité transfusionnelle (CRHST)</w:t>
      </w:r>
      <w:bookmarkEnd w:id="1"/>
    </w:p>
    <w:p w:rsidR="008C0333" w:rsidRDefault="008C0333" w:rsidP="008C0333"/>
    <w:p w:rsidR="00054BEA" w:rsidRDefault="005C210B" w:rsidP="008C0333">
      <w:pPr>
        <w:pStyle w:val="Default"/>
        <w:rPr>
          <w:rFonts w:asciiTheme="minorHAnsi" w:hAnsiTheme="minorHAnsi"/>
          <w:color w:val="auto"/>
        </w:rPr>
      </w:pPr>
      <w:r>
        <w:rPr>
          <w:rFonts w:asciiTheme="minorHAnsi" w:hAnsiTheme="minorHAnsi"/>
          <w:color w:val="auto"/>
        </w:rPr>
        <w:t>La C</w:t>
      </w:r>
      <w:r w:rsidR="00054BEA">
        <w:rPr>
          <w:rFonts w:asciiTheme="minorHAnsi" w:hAnsiTheme="minorHAnsi"/>
          <w:color w:val="auto"/>
        </w:rPr>
        <w:t>RHST :</w:t>
      </w:r>
    </w:p>
    <w:p w:rsidR="00054BEA" w:rsidRDefault="00054BEA" w:rsidP="008C0333">
      <w:pPr>
        <w:pStyle w:val="Default"/>
        <w:rPr>
          <w:rFonts w:asciiTheme="minorHAnsi" w:hAnsiTheme="minorHAnsi"/>
          <w:color w:val="auto"/>
        </w:rPr>
      </w:pPr>
    </w:p>
    <w:p w:rsidR="00D104CF" w:rsidRDefault="00054BEA" w:rsidP="00054BEA">
      <w:pPr>
        <w:pStyle w:val="Default"/>
        <w:numPr>
          <w:ilvl w:val="0"/>
          <w:numId w:val="8"/>
        </w:numPr>
        <w:rPr>
          <w:rFonts w:asciiTheme="minorHAnsi" w:hAnsiTheme="minorHAnsi"/>
          <w:color w:val="auto"/>
        </w:rPr>
      </w:pPr>
      <w:r>
        <w:rPr>
          <w:rFonts w:asciiTheme="minorHAnsi" w:hAnsiTheme="minorHAnsi"/>
          <w:color w:val="auto"/>
        </w:rPr>
        <w:t xml:space="preserve"> </w:t>
      </w:r>
      <w:r w:rsidR="005C210B">
        <w:rPr>
          <w:rFonts w:asciiTheme="minorHAnsi" w:hAnsiTheme="minorHAnsi"/>
          <w:color w:val="auto"/>
        </w:rPr>
        <w:t>est une mission transversale  qui travaille avec</w:t>
      </w:r>
      <w:r w:rsidR="00D104CF">
        <w:rPr>
          <w:rFonts w:asciiTheme="minorHAnsi" w:hAnsiTheme="minorHAnsi"/>
          <w:color w:val="auto"/>
        </w:rPr>
        <w:t xml:space="preserve"> différents interlocuteurs</w:t>
      </w:r>
      <w:r>
        <w:rPr>
          <w:rFonts w:asciiTheme="minorHAnsi" w:hAnsiTheme="minorHAnsi"/>
          <w:color w:val="auto"/>
        </w:rPr>
        <w:t xml:space="preserve"> : </w:t>
      </w:r>
      <w:r w:rsidR="00D104CF">
        <w:rPr>
          <w:rFonts w:asciiTheme="minorHAnsi" w:hAnsiTheme="minorHAnsi"/>
          <w:color w:val="auto"/>
        </w:rPr>
        <w:t>l’ANSM, l’EFS, ainsi que tout le réseau régional des établissements transfuseurs.</w:t>
      </w:r>
    </w:p>
    <w:p w:rsidR="00D104CF" w:rsidRDefault="00752083" w:rsidP="008C0333">
      <w:pPr>
        <w:pStyle w:val="Default"/>
        <w:rPr>
          <w:rFonts w:asciiTheme="minorHAnsi" w:hAnsiTheme="minorHAnsi"/>
          <w:color w:val="auto"/>
        </w:rPr>
      </w:pPr>
      <w:hyperlink r:id="rId11" w:history="1">
        <w:r w:rsidR="00D104CF" w:rsidRPr="00C70988">
          <w:rPr>
            <w:rStyle w:val="Lienhypertexte"/>
            <w:rFonts w:asciiTheme="minorHAnsi" w:hAnsiTheme="minorHAnsi"/>
          </w:rPr>
          <w:t>https://www.paca.ars.sante.fr/hemovigilance-et-securite-transfusionnelle-2</w:t>
        </w:r>
      </w:hyperlink>
    </w:p>
    <w:p w:rsidR="005C210B" w:rsidRDefault="005C210B" w:rsidP="008C0333">
      <w:pPr>
        <w:pStyle w:val="Default"/>
        <w:rPr>
          <w:rFonts w:asciiTheme="minorHAnsi" w:hAnsiTheme="minorHAnsi"/>
          <w:color w:val="auto"/>
        </w:rPr>
      </w:pPr>
    </w:p>
    <w:p w:rsidR="00054BEA" w:rsidRDefault="00054BEA" w:rsidP="00054BEA">
      <w:pPr>
        <w:pStyle w:val="Default"/>
        <w:numPr>
          <w:ilvl w:val="0"/>
          <w:numId w:val="8"/>
        </w:numPr>
        <w:rPr>
          <w:rFonts w:asciiTheme="minorHAnsi" w:hAnsiTheme="minorHAnsi"/>
          <w:color w:val="auto"/>
        </w:rPr>
      </w:pPr>
      <w:r>
        <w:rPr>
          <w:rFonts w:asciiTheme="minorHAnsi" w:hAnsiTheme="minorHAnsi"/>
          <w:color w:val="auto"/>
        </w:rPr>
        <w:t>Est rattachée</w:t>
      </w:r>
      <w:r w:rsidR="00021908">
        <w:rPr>
          <w:rFonts w:asciiTheme="minorHAnsi" w:hAnsiTheme="minorHAnsi"/>
          <w:color w:val="auto"/>
        </w:rPr>
        <w:t>,</w:t>
      </w:r>
      <w:r>
        <w:rPr>
          <w:rFonts w:asciiTheme="minorHAnsi" w:hAnsiTheme="minorHAnsi"/>
          <w:color w:val="auto"/>
        </w:rPr>
        <w:t xml:space="preserve"> au sein de l’ARS</w:t>
      </w:r>
      <w:r w:rsidR="00021908">
        <w:rPr>
          <w:rFonts w:asciiTheme="minorHAnsi" w:hAnsiTheme="minorHAnsi"/>
          <w:color w:val="auto"/>
        </w:rPr>
        <w:t>,</w:t>
      </w:r>
      <w:r>
        <w:rPr>
          <w:rFonts w:asciiTheme="minorHAnsi" w:hAnsiTheme="minorHAnsi"/>
          <w:color w:val="auto"/>
        </w:rPr>
        <w:t xml:space="preserve">  au réseau régional de vigilance et d’appui (RREVA)</w:t>
      </w:r>
    </w:p>
    <w:p w:rsidR="00D104CF" w:rsidRDefault="00752083" w:rsidP="008C0333">
      <w:pPr>
        <w:pStyle w:val="Default"/>
        <w:rPr>
          <w:rFonts w:asciiTheme="minorHAnsi" w:hAnsiTheme="minorHAnsi"/>
          <w:color w:val="auto"/>
        </w:rPr>
      </w:pPr>
      <w:hyperlink r:id="rId12" w:history="1">
        <w:r w:rsidR="00054BEA" w:rsidRPr="00C70988">
          <w:rPr>
            <w:rStyle w:val="Lienhypertexte"/>
            <w:rFonts w:asciiTheme="minorHAnsi" w:hAnsiTheme="minorHAnsi"/>
          </w:rPr>
          <w:t>https://www.paca.ars.sante.fr/reseau-regional-de-vigilance-et-dappui</w:t>
        </w:r>
      </w:hyperlink>
    </w:p>
    <w:p w:rsidR="00054BEA" w:rsidRDefault="00054BEA" w:rsidP="008C0333">
      <w:pPr>
        <w:pStyle w:val="Default"/>
        <w:rPr>
          <w:rFonts w:asciiTheme="minorHAnsi" w:hAnsiTheme="minorHAnsi"/>
          <w:color w:val="auto"/>
        </w:rPr>
      </w:pPr>
    </w:p>
    <w:p w:rsidR="00D104CF" w:rsidRDefault="00752083" w:rsidP="008C0333">
      <w:pPr>
        <w:pStyle w:val="Default"/>
        <w:rPr>
          <w:rFonts w:asciiTheme="minorHAnsi" w:hAnsiTheme="minorHAnsi"/>
          <w:color w:val="auto"/>
        </w:rPr>
      </w:pPr>
      <w:hyperlink r:id="rId13" w:history="1">
        <w:r w:rsidR="00D104CF" w:rsidRPr="00C70988">
          <w:rPr>
            <w:rStyle w:val="Lienhypertexte"/>
            <w:rFonts w:asciiTheme="minorHAnsi" w:hAnsiTheme="minorHAnsi"/>
          </w:rPr>
          <w:t>https://www.legifrance.gouv.fr/eli/decret/2016/12/1/AFSP1618497D/jo/texte</w:t>
        </w:r>
      </w:hyperlink>
    </w:p>
    <w:p w:rsidR="00D104CF" w:rsidRDefault="00D104CF" w:rsidP="008C0333">
      <w:pPr>
        <w:pStyle w:val="Default"/>
        <w:rPr>
          <w:rFonts w:asciiTheme="minorHAnsi" w:hAnsiTheme="minorHAnsi"/>
          <w:color w:val="auto"/>
        </w:rPr>
      </w:pPr>
    </w:p>
    <w:p w:rsidR="008C0333" w:rsidRPr="008C0333" w:rsidRDefault="00D104CF" w:rsidP="008C0333">
      <w:pPr>
        <w:pStyle w:val="Default"/>
        <w:rPr>
          <w:rFonts w:asciiTheme="minorHAnsi" w:hAnsiTheme="minorHAnsi"/>
          <w:color w:val="auto"/>
        </w:rPr>
      </w:pPr>
      <w:r>
        <w:rPr>
          <w:rFonts w:asciiTheme="minorHAnsi" w:hAnsiTheme="minorHAnsi"/>
          <w:color w:val="auto"/>
        </w:rPr>
        <w:br/>
      </w:r>
      <w:r w:rsidR="001A6712">
        <w:rPr>
          <w:rFonts w:asciiTheme="minorHAnsi" w:hAnsiTheme="minorHAnsi"/>
          <w:color w:val="auto"/>
        </w:rPr>
        <w:t>En PACA,</w:t>
      </w:r>
      <w:r w:rsidR="008C0333" w:rsidRPr="008C0333">
        <w:rPr>
          <w:rFonts w:asciiTheme="minorHAnsi" w:hAnsiTheme="minorHAnsi"/>
          <w:color w:val="auto"/>
        </w:rPr>
        <w:t xml:space="preserve"> la Cellule Régionale d'Hémovigilance dispose </w:t>
      </w:r>
      <w:r w:rsidR="001A6712">
        <w:rPr>
          <w:rFonts w:asciiTheme="minorHAnsi" w:hAnsiTheme="minorHAnsi"/>
          <w:color w:val="auto"/>
        </w:rPr>
        <w:t>de deux</w:t>
      </w:r>
      <w:r w:rsidR="008C0333" w:rsidRPr="008C0333">
        <w:rPr>
          <w:rFonts w:asciiTheme="minorHAnsi" w:hAnsiTheme="minorHAnsi"/>
          <w:color w:val="auto"/>
        </w:rPr>
        <w:t xml:space="preserve"> médecin</w:t>
      </w:r>
      <w:r w:rsidR="001A6712">
        <w:rPr>
          <w:rFonts w:asciiTheme="minorHAnsi" w:hAnsiTheme="minorHAnsi"/>
          <w:color w:val="auto"/>
        </w:rPr>
        <w:t>s</w:t>
      </w:r>
      <w:r w:rsidR="008C0333" w:rsidRPr="008C0333">
        <w:rPr>
          <w:rFonts w:asciiTheme="minorHAnsi" w:hAnsiTheme="minorHAnsi"/>
          <w:color w:val="auto"/>
        </w:rPr>
        <w:t xml:space="preserve"> CRH, et d</w:t>
      </w:r>
      <w:r w:rsidR="001A6712">
        <w:rPr>
          <w:rFonts w:asciiTheme="minorHAnsi" w:hAnsiTheme="minorHAnsi"/>
          <w:color w:val="auto"/>
        </w:rPr>
        <w:t>e deux assistants</w:t>
      </w:r>
      <w:r w:rsidR="008C0333" w:rsidRPr="008C0333">
        <w:rPr>
          <w:rFonts w:asciiTheme="minorHAnsi" w:hAnsiTheme="minorHAnsi"/>
          <w:color w:val="auto"/>
        </w:rPr>
        <w:t xml:space="preserve">. Ils sont répartis sur </w:t>
      </w:r>
      <w:r w:rsidR="001A6712">
        <w:rPr>
          <w:rFonts w:asciiTheme="minorHAnsi" w:hAnsiTheme="minorHAnsi"/>
          <w:color w:val="auto"/>
        </w:rPr>
        <w:t>deux sites : Marseille et Nice.</w:t>
      </w:r>
    </w:p>
    <w:p w:rsidR="008C0333" w:rsidRPr="008C0333" w:rsidRDefault="008C0333" w:rsidP="008C0333">
      <w:pPr>
        <w:pStyle w:val="Default"/>
        <w:rPr>
          <w:rFonts w:asciiTheme="minorHAnsi" w:hAnsiTheme="minorHAnsi"/>
          <w:color w:val="auto"/>
        </w:rPr>
      </w:pPr>
    </w:p>
    <w:p w:rsidR="008C0333" w:rsidRPr="008C0333" w:rsidRDefault="008C0333" w:rsidP="008C0333">
      <w:pPr>
        <w:pStyle w:val="Default"/>
        <w:rPr>
          <w:rFonts w:asciiTheme="minorHAnsi" w:hAnsiTheme="minorHAnsi"/>
          <w:color w:val="auto"/>
        </w:rPr>
      </w:pPr>
      <w:r w:rsidRPr="008C0333">
        <w:rPr>
          <w:rFonts w:asciiTheme="minorHAnsi" w:hAnsiTheme="minorHAnsi"/>
          <w:color w:val="auto"/>
        </w:rPr>
        <w:t xml:space="preserve">Le site de </w:t>
      </w:r>
      <w:r w:rsidRPr="008C0333">
        <w:rPr>
          <w:rFonts w:asciiTheme="minorHAnsi" w:hAnsiTheme="minorHAnsi"/>
          <w:b/>
          <w:bCs/>
          <w:color w:val="auto"/>
        </w:rPr>
        <w:t xml:space="preserve">Marseille </w:t>
      </w:r>
      <w:r w:rsidRPr="008C0333">
        <w:rPr>
          <w:rFonts w:asciiTheme="minorHAnsi" w:hAnsiTheme="minorHAnsi"/>
          <w:color w:val="auto"/>
        </w:rPr>
        <w:t xml:space="preserve">couvre les Établissements de Santé (ES) transfuseurs des départements des </w:t>
      </w:r>
      <w:r w:rsidRPr="008C0333">
        <w:rPr>
          <w:rFonts w:asciiTheme="minorHAnsi" w:hAnsiTheme="minorHAnsi"/>
          <w:b/>
          <w:bCs/>
          <w:color w:val="auto"/>
        </w:rPr>
        <w:t xml:space="preserve">Bouches-du-Rhône </w:t>
      </w:r>
      <w:r w:rsidRPr="008C0333">
        <w:rPr>
          <w:rFonts w:asciiTheme="minorHAnsi" w:hAnsiTheme="minorHAnsi"/>
          <w:color w:val="auto"/>
        </w:rPr>
        <w:t xml:space="preserve">et du </w:t>
      </w:r>
      <w:r w:rsidRPr="008C0333">
        <w:rPr>
          <w:rFonts w:asciiTheme="minorHAnsi" w:hAnsiTheme="minorHAnsi"/>
          <w:b/>
          <w:bCs/>
          <w:color w:val="auto"/>
        </w:rPr>
        <w:t>Vaucluse</w:t>
      </w:r>
      <w:r w:rsidR="002D47F4">
        <w:rPr>
          <w:rFonts w:asciiTheme="minorHAnsi" w:hAnsiTheme="minorHAnsi"/>
          <w:b/>
          <w:bCs/>
          <w:color w:val="auto"/>
        </w:rPr>
        <w:t xml:space="preserve"> (= PACA Ouest)</w:t>
      </w:r>
      <w:r w:rsidRPr="008C0333">
        <w:rPr>
          <w:rFonts w:asciiTheme="minorHAnsi" w:hAnsiTheme="minorHAnsi"/>
          <w:color w:val="auto"/>
        </w:rPr>
        <w:t xml:space="preserve">, soit : </w:t>
      </w:r>
    </w:p>
    <w:p w:rsidR="008C0333" w:rsidRPr="008C0333" w:rsidRDefault="008C0333" w:rsidP="008C0333">
      <w:pPr>
        <w:pStyle w:val="Default"/>
        <w:rPr>
          <w:rFonts w:asciiTheme="minorHAnsi" w:hAnsiTheme="minorHAnsi"/>
          <w:color w:val="auto"/>
        </w:rPr>
      </w:pPr>
    </w:p>
    <w:p w:rsidR="008C0333" w:rsidRPr="008C0333" w:rsidRDefault="008C0333" w:rsidP="008C0333">
      <w:pPr>
        <w:pStyle w:val="Default"/>
        <w:rPr>
          <w:rFonts w:asciiTheme="minorHAnsi" w:hAnsiTheme="minorHAnsi"/>
          <w:color w:val="auto"/>
        </w:rPr>
      </w:pPr>
      <w:r w:rsidRPr="008C0333">
        <w:rPr>
          <w:rFonts w:asciiTheme="minorHAnsi" w:hAnsiTheme="minorHAnsi"/>
          <w:color w:val="auto"/>
        </w:rPr>
        <w:t>- 6</w:t>
      </w:r>
      <w:r w:rsidR="007227C1">
        <w:rPr>
          <w:rFonts w:asciiTheme="minorHAnsi" w:hAnsiTheme="minorHAnsi"/>
          <w:color w:val="auto"/>
        </w:rPr>
        <w:t xml:space="preserve">4 </w:t>
      </w:r>
      <w:r w:rsidRPr="008C0333">
        <w:rPr>
          <w:rFonts w:asciiTheme="minorHAnsi" w:hAnsiTheme="minorHAnsi"/>
          <w:color w:val="auto"/>
        </w:rPr>
        <w:t xml:space="preserve">ES transfuseurs </w:t>
      </w:r>
    </w:p>
    <w:p w:rsidR="008C0333" w:rsidRPr="008C0333" w:rsidRDefault="008C0333" w:rsidP="008C0333">
      <w:pPr>
        <w:pStyle w:val="Default"/>
        <w:rPr>
          <w:rFonts w:asciiTheme="minorHAnsi" w:hAnsiTheme="minorHAnsi"/>
          <w:color w:val="auto"/>
        </w:rPr>
      </w:pPr>
      <w:r w:rsidRPr="008C0333">
        <w:rPr>
          <w:rFonts w:asciiTheme="minorHAnsi" w:hAnsiTheme="minorHAnsi"/>
          <w:color w:val="auto"/>
        </w:rPr>
        <w:t xml:space="preserve">- 21 dépôts de sang </w:t>
      </w:r>
    </w:p>
    <w:p w:rsidR="008C0333" w:rsidRPr="008C0333" w:rsidRDefault="008C0333" w:rsidP="008C0333">
      <w:pPr>
        <w:pStyle w:val="Default"/>
        <w:rPr>
          <w:rFonts w:asciiTheme="minorHAnsi" w:hAnsiTheme="minorHAnsi"/>
          <w:color w:val="auto"/>
        </w:rPr>
      </w:pPr>
      <w:r w:rsidRPr="008C0333">
        <w:rPr>
          <w:rFonts w:asciiTheme="minorHAnsi" w:hAnsiTheme="minorHAnsi"/>
          <w:color w:val="auto"/>
        </w:rPr>
        <w:t xml:space="preserve">- 5 sites EFS </w:t>
      </w:r>
    </w:p>
    <w:p w:rsidR="008C0333" w:rsidRPr="008C0333" w:rsidRDefault="008C0333" w:rsidP="008C0333">
      <w:pPr>
        <w:pStyle w:val="Default"/>
        <w:rPr>
          <w:rFonts w:asciiTheme="minorHAnsi" w:hAnsiTheme="minorHAnsi"/>
          <w:color w:val="auto"/>
        </w:rPr>
      </w:pPr>
      <w:r w:rsidRPr="008C0333">
        <w:rPr>
          <w:rFonts w:asciiTheme="minorHAnsi" w:hAnsiTheme="minorHAnsi"/>
          <w:color w:val="auto"/>
        </w:rPr>
        <w:t xml:space="preserve">- avec une population estimée à 2 560 443 habitants (source : INSEE 2014). </w:t>
      </w:r>
    </w:p>
    <w:p w:rsidR="008C0333" w:rsidRPr="008C0333" w:rsidRDefault="008C0333" w:rsidP="008C0333">
      <w:pPr>
        <w:pStyle w:val="Default"/>
        <w:rPr>
          <w:rFonts w:asciiTheme="minorHAnsi" w:hAnsiTheme="minorHAnsi"/>
          <w:color w:val="auto"/>
        </w:rPr>
      </w:pPr>
    </w:p>
    <w:p w:rsidR="008C0333" w:rsidRPr="008C0333" w:rsidRDefault="008C0333" w:rsidP="008C0333">
      <w:pPr>
        <w:pStyle w:val="Default"/>
        <w:rPr>
          <w:rFonts w:asciiTheme="minorHAnsi" w:hAnsiTheme="minorHAnsi"/>
          <w:color w:val="auto"/>
        </w:rPr>
      </w:pPr>
      <w:r w:rsidRPr="008C0333">
        <w:rPr>
          <w:rFonts w:asciiTheme="minorHAnsi" w:hAnsiTheme="minorHAnsi"/>
          <w:color w:val="auto"/>
        </w:rPr>
        <w:t xml:space="preserve">Le site de </w:t>
      </w:r>
      <w:r w:rsidRPr="008C0333">
        <w:rPr>
          <w:rFonts w:asciiTheme="minorHAnsi" w:hAnsiTheme="minorHAnsi"/>
          <w:b/>
          <w:bCs/>
          <w:color w:val="auto"/>
        </w:rPr>
        <w:t xml:space="preserve">Nice </w:t>
      </w:r>
      <w:r w:rsidRPr="008C0333">
        <w:rPr>
          <w:rFonts w:asciiTheme="minorHAnsi" w:hAnsiTheme="minorHAnsi"/>
          <w:color w:val="auto"/>
        </w:rPr>
        <w:t xml:space="preserve">couvre les Établissements de Santé des </w:t>
      </w:r>
      <w:r w:rsidRPr="008C0333">
        <w:rPr>
          <w:rFonts w:asciiTheme="minorHAnsi" w:hAnsiTheme="minorHAnsi"/>
          <w:b/>
          <w:bCs/>
          <w:color w:val="auto"/>
        </w:rPr>
        <w:t>Hautes-Alpes</w:t>
      </w:r>
      <w:r w:rsidRPr="008C0333">
        <w:rPr>
          <w:rFonts w:asciiTheme="minorHAnsi" w:hAnsiTheme="minorHAnsi"/>
          <w:color w:val="auto"/>
        </w:rPr>
        <w:t xml:space="preserve">, </w:t>
      </w:r>
      <w:r w:rsidRPr="008C0333">
        <w:rPr>
          <w:rFonts w:asciiTheme="minorHAnsi" w:hAnsiTheme="minorHAnsi"/>
          <w:b/>
          <w:bCs/>
          <w:color w:val="auto"/>
        </w:rPr>
        <w:t>Alpes de Haute-Provence</w:t>
      </w:r>
      <w:r w:rsidRPr="008C0333">
        <w:rPr>
          <w:rFonts w:asciiTheme="minorHAnsi" w:hAnsiTheme="minorHAnsi"/>
          <w:color w:val="auto"/>
        </w:rPr>
        <w:t xml:space="preserve">, </w:t>
      </w:r>
      <w:r w:rsidRPr="008C0333">
        <w:rPr>
          <w:rFonts w:asciiTheme="minorHAnsi" w:hAnsiTheme="minorHAnsi"/>
          <w:b/>
          <w:bCs/>
          <w:color w:val="auto"/>
        </w:rPr>
        <w:t xml:space="preserve">Alpes-Maritimes </w:t>
      </w:r>
      <w:r w:rsidRPr="008C0333">
        <w:rPr>
          <w:rFonts w:asciiTheme="minorHAnsi" w:hAnsiTheme="minorHAnsi"/>
          <w:color w:val="auto"/>
        </w:rPr>
        <w:t xml:space="preserve">et </w:t>
      </w:r>
      <w:r w:rsidRPr="008C0333">
        <w:rPr>
          <w:rFonts w:asciiTheme="minorHAnsi" w:hAnsiTheme="minorHAnsi"/>
          <w:b/>
          <w:bCs/>
          <w:color w:val="auto"/>
        </w:rPr>
        <w:t>Var</w:t>
      </w:r>
      <w:r w:rsidR="002D47F4">
        <w:rPr>
          <w:rFonts w:asciiTheme="minorHAnsi" w:hAnsiTheme="minorHAnsi"/>
          <w:b/>
          <w:bCs/>
          <w:color w:val="auto"/>
        </w:rPr>
        <w:t xml:space="preserve"> (= PACA Est)</w:t>
      </w:r>
      <w:r w:rsidRPr="008C0333">
        <w:rPr>
          <w:rFonts w:asciiTheme="minorHAnsi" w:hAnsiTheme="minorHAnsi"/>
          <w:color w:val="auto"/>
        </w:rPr>
        <w:t xml:space="preserve">, soit : </w:t>
      </w:r>
    </w:p>
    <w:p w:rsidR="008C0333" w:rsidRPr="008C0333" w:rsidRDefault="008C0333" w:rsidP="008C0333">
      <w:pPr>
        <w:pStyle w:val="Default"/>
        <w:rPr>
          <w:rFonts w:asciiTheme="minorHAnsi" w:hAnsiTheme="minorHAnsi"/>
          <w:color w:val="auto"/>
        </w:rPr>
      </w:pPr>
    </w:p>
    <w:p w:rsidR="008C0333" w:rsidRPr="008C0333" w:rsidRDefault="008C0333" w:rsidP="008C0333">
      <w:pPr>
        <w:pStyle w:val="Default"/>
        <w:rPr>
          <w:rFonts w:asciiTheme="minorHAnsi" w:hAnsiTheme="minorHAnsi"/>
          <w:color w:val="auto"/>
        </w:rPr>
      </w:pPr>
      <w:r w:rsidRPr="008C0333">
        <w:rPr>
          <w:rFonts w:asciiTheme="minorHAnsi" w:hAnsiTheme="minorHAnsi"/>
          <w:color w:val="auto"/>
        </w:rPr>
        <w:t xml:space="preserve">- 62 ES transfuseurs, </w:t>
      </w:r>
    </w:p>
    <w:p w:rsidR="008C0333" w:rsidRPr="008C0333" w:rsidRDefault="008C0333" w:rsidP="008C0333">
      <w:pPr>
        <w:pStyle w:val="Default"/>
        <w:rPr>
          <w:rFonts w:asciiTheme="minorHAnsi" w:hAnsiTheme="minorHAnsi"/>
          <w:color w:val="auto"/>
        </w:rPr>
      </w:pPr>
      <w:r w:rsidRPr="008C0333">
        <w:rPr>
          <w:rFonts w:asciiTheme="minorHAnsi" w:hAnsiTheme="minorHAnsi"/>
          <w:color w:val="auto"/>
        </w:rPr>
        <w:t xml:space="preserve">- 27 dépôts de sang, </w:t>
      </w:r>
    </w:p>
    <w:p w:rsidR="008C0333" w:rsidRPr="008C0333" w:rsidRDefault="008C0333" w:rsidP="008C0333">
      <w:pPr>
        <w:pStyle w:val="Default"/>
        <w:rPr>
          <w:rFonts w:asciiTheme="minorHAnsi" w:hAnsiTheme="minorHAnsi"/>
          <w:color w:val="auto"/>
        </w:rPr>
      </w:pPr>
      <w:r w:rsidRPr="008C0333">
        <w:rPr>
          <w:rFonts w:asciiTheme="minorHAnsi" w:hAnsiTheme="minorHAnsi"/>
          <w:color w:val="auto"/>
        </w:rPr>
        <w:t xml:space="preserve">- 6 sites EFS </w:t>
      </w:r>
    </w:p>
    <w:p w:rsidR="008C0333" w:rsidRPr="008C0333" w:rsidRDefault="008C0333" w:rsidP="008C0333">
      <w:pPr>
        <w:pStyle w:val="Default"/>
        <w:rPr>
          <w:rFonts w:asciiTheme="minorHAnsi" w:hAnsiTheme="minorHAnsi"/>
          <w:color w:val="auto"/>
        </w:rPr>
      </w:pPr>
      <w:r w:rsidRPr="008C0333">
        <w:rPr>
          <w:rFonts w:asciiTheme="minorHAnsi" w:hAnsiTheme="minorHAnsi"/>
          <w:color w:val="auto"/>
        </w:rPr>
        <w:t xml:space="preserve">- avec une population estimée à 2 422 995 habitants (source : INSEE 2014). </w:t>
      </w:r>
    </w:p>
    <w:p w:rsidR="008C0333" w:rsidRPr="008C0333" w:rsidRDefault="008C0333" w:rsidP="008C0333">
      <w:pPr>
        <w:pStyle w:val="Default"/>
        <w:rPr>
          <w:rFonts w:asciiTheme="minorHAnsi" w:hAnsiTheme="minorHAnsi"/>
          <w:color w:val="auto"/>
        </w:rPr>
      </w:pPr>
    </w:p>
    <w:p w:rsidR="008C0333" w:rsidRPr="005C210B" w:rsidRDefault="008C0333" w:rsidP="008C0333">
      <w:pPr>
        <w:rPr>
          <w:rFonts w:cs="Arial"/>
          <w:b/>
          <w:bCs/>
          <w:color w:val="0F243E" w:themeColor="text2" w:themeShade="80"/>
          <w:sz w:val="24"/>
          <w:szCs w:val="24"/>
        </w:rPr>
      </w:pPr>
      <w:r w:rsidRPr="005C210B">
        <w:rPr>
          <w:rFonts w:cs="Arial"/>
          <w:b/>
          <w:bCs/>
          <w:color w:val="0F243E" w:themeColor="text2" w:themeShade="80"/>
          <w:sz w:val="24"/>
          <w:szCs w:val="24"/>
        </w:rPr>
        <w:t xml:space="preserve">Le schéma d’organisation de la transfusion sanguine (SOTS) d’Alpes-Méditerranée </w:t>
      </w:r>
      <w:r w:rsidRPr="005C210B">
        <w:rPr>
          <w:rFonts w:cs="Arial"/>
          <w:bCs/>
          <w:color w:val="0F243E" w:themeColor="text2" w:themeShade="80"/>
          <w:sz w:val="24"/>
          <w:szCs w:val="24"/>
        </w:rPr>
        <w:t>a été défini dans l'Arrêté du 7 septembre 2012 et modifié par l’</w:t>
      </w:r>
      <w:r w:rsidRPr="005C210B">
        <w:rPr>
          <w:rFonts w:cs="Arial"/>
          <w:b/>
          <w:bCs/>
          <w:color w:val="0F243E" w:themeColor="text2" w:themeShade="80"/>
          <w:sz w:val="24"/>
          <w:szCs w:val="24"/>
        </w:rPr>
        <w:t>Arrêté du 23 février 2015.</w:t>
      </w:r>
    </w:p>
    <w:p w:rsidR="00D026FC" w:rsidRPr="005C210B" w:rsidRDefault="00D026FC" w:rsidP="008C0333">
      <w:pPr>
        <w:rPr>
          <w:color w:val="0F243E" w:themeColor="text2" w:themeShade="80"/>
          <w:sz w:val="24"/>
          <w:szCs w:val="24"/>
        </w:rPr>
      </w:pPr>
    </w:p>
    <w:p w:rsidR="008C0333" w:rsidRPr="005C210B" w:rsidRDefault="008C0333" w:rsidP="008C0333">
      <w:pPr>
        <w:jc w:val="both"/>
        <w:rPr>
          <w:rFonts w:cs="Arial"/>
          <w:color w:val="0F243E" w:themeColor="text2" w:themeShade="80"/>
          <w:sz w:val="24"/>
          <w:szCs w:val="24"/>
        </w:rPr>
      </w:pPr>
      <w:r w:rsidRPr="005C210B">
        <w:rPr>
          <w:rFonts w:cs="Arial"/>
          <w:color w:val="0F243E" w:themeColor="text2" w:themeShade="80"/>
          <w:sz w:val="24"/>
          <w:szCs w:val="24"/>
        </w:rPr>
        <w:t>Les autorisations et les renouvellements d’autorisation des dépôts de sang reposent sur les décisions du Directeur Général de l'ARS PACA, leq</w:t>
      </w:r>
      <w:r w:rsidR="00EA7D04" w:rsidRPr="005C210B">
        <w:rPr>
          <w:rFonts w:cs="Arial"/>
          <w:color w:val="0F243E" w:themeColor="text2" w:themeShade="80"/>
          <w:sz w:val="24"/>
          <w:szCs w:val="24"/>
        </w:rPr>
        <w:t>uel se prononce après avis des c</w:t>
      </w:r>
      <w:r w:rsidRPr="005C210B">
        <w:rPr>
          <w:rFonts w:cs="Arial"/>
          <w:color w:val="0F243E" w:themeColor="text2" w:themeShade="80"/>
          <w:sz w:val="24"/>
          <w:szCs w:val="24"/>
        </w:rPr>
        <w:t>oordonnateurs R</w:t>
      </w:r>
      <w:r w:rsidR="00EA7D04" w:rsidRPr="005C210B">
        <w:rPr>
          <w:rFonts w:cs="Arial"/>
          <w:color w:val="0F243E" w:themeColor="text2" w:themeShade="80"/>
          <w:sz w:val="24"/>
          <w:szCs w:val="24"/>
        </w:rPr>
        <w:t>égionaux d'Hémovigilance et du d</w:t>
      </w:r>
      <w:r w:rsidRPr="005C210B">
        <w:rPr>
          <w:rFonts w:cs="Arial"/>
          <w:color w:val="0F243E" w:themeColor="text2" w:themeShade="80"/>
          <w:sz w:val="24"/>
          <w:szCs w:val="24"/>
        </w:rPr>
        <w:t>irecteur de l'EFS AM.</w:t>
      </w:r>
    </w:p>
    <w:p w:rsidR="00D026FC" w:rsidRPr="005C210B" w:rsidRDefault="00D026FC" w:rsidP="008C0333">
      <w:pPr>
        <w:jc w:val="both"/>
        <w:rPr>
          <w:rFonts w:cs="Arial"/>
          <w:color w:val="0F243E" w:themeColor="text2" w:themeShade="80"/>
          <w:sz w:val="24"/>
          <w:szCs w:val="24"/>
        </w:rPr>
      </w:pPr>
    </w:p>
    <w:p w:rsidR="008C0333" w:rsidRPr="005C210B" w:rsidRDefault="008C0333" w:rsidP="008C0333">
      <w:pPr>
        <w:jc w:val="both"/>
        <w:rPr>
          <w:rFonts w:cs="Arial"/>
          <w:color w:val="0F243E" w:themeColor="text2" w:themeShade="80"/>
          <w:sz w:val="24"/>
          <w:szCs w:val="24"/>
        </w:rPr>
      </w:pPr>
      <w:r w:rsidRPr="005C210B">
        <w:rPr>
          <w:rFonts w:cs="Arial"/>
          <w:color w:val="0F243E" w:themeColor="text2" w:themeShade="80"/>
          <w:sz w:val="24"/>
          <w:szCs w:val="24"/>
        </w:rPr>
        <w:t xml:space="preserve">L’article D1221-20-6 du CSP, modifié par décret n°2010-344 du 31 mars 2010, article 10, précise que les dépôts de sang font l’objet d’au moins une inspection par l’ARS pendant la durée de validité de l’autorisation de fonctionnement de 5 ans. </w:t>
      </w:r>
    </w:p>
    <w:p w:rsidR="008C0333" w:rsidRPr="008C0333" w:rsidRDefault="008C0333" w:rsidP="008C0333"/>
    <w:p w:rsidR="00732F2F" w:rsidRDefault="00732F2F" w:rsidP="00732F2F"/>
    <w:p w:rsidR="00732F2F" w:rsidRDefault="00732F2F" w:rsidP="00732F2F"/>
    <w:p w:rsidR="00732F2F" w:rsidRPr="00732F2F" w:rsidRDefault="00732F2F" w:rsidP="00732F2F"/>
    <w:p w:rsidR="00441988" w:rsidRDefault="00441988" w:rsidP="00441988">
      <w:pPr>
        <w:rPr>
          <w:i/>
        </w:rPr>
      </w:pPr>
    </w:p>
    <w:p w:rsidR="00441988" w:rsidRPr="00441988" w:rsidRDefault="00441988" w:rsidP="00441988">
      <w:pPr>
        <w:rPr>
          <w:sz w:val="24"/>
          <w:szCs w:val="24"/>
        </w:rPr>
      </w:pPr>
      <w:r>
        <w:rPr>
          <w:sz w:val="24"/>
          <w:szCs w:val="24"/>
        </w:rPr>
        <w:lastRenderedPageBreak/>
        <w:t>Voici un aperçu de quelques thématiques engageant la fonction du CHV</w:t>
      </w:r>
    </w:p>
    <w:p w:rsidR="00441988" w:rsidRDefault="00441988" w:rsidP="00441988">
      <w:pPr>
        <w:rPr>
          <w:i/>
        </w:rPr>
      </w:pPr>
    </w:p>
    <w:p w:rsidR="00441988" w:rsidRPr="005C210B" w:rsidRDefault="00441988" w:rsidP="00441988">
      <w:pPr>
        <w:rPr>
          <w:i/>
          <w:sz w:val="24"/>
          <w:szCs w:val="24"/>
        </w:rPr>
      </w:pPr>
      <w:r w:rsidRPr="005C210B">
        <w:rPr>
          <w:i/>
        </w:rPr>
        <w:t>NB</w:t>
      </w:r>
      <w:r w:rsidRPr="005C210B">
        <w:rPr>
          <w:rFonts w:ascii="Garamond" w:hAnsi="Garamond"/>
          <w:i/>
        </w:rPr>
        <w:t xml:space="preserve"> : </w:t>
      </w:r>
      <w:r w:rsidRPr="005C210B">
        <w:rPr>
          <w:i/>
          <w:sz w:val="24"/>
          <w:szCs w:val="24"/>
        </w:rPr>
        <w:t xml:space="preserve">Dès l’instant où l’ES transfuse plus de 1000 poches par an, il est souhaitable que le correspondant ait du temps dédié </w:t>
      </w:r>
      <w:r w:rsidRPr="005C210B">
        <w:rPr>
          <w:b/>
          <w:i/>
          <w:sz w:val="24"/>
          <w:szCs w:val="24"/>
        </w:rPr>
        <w:t>0.1 ETP</w:t>
      </w:r>
      <w:r w:rsidRPr="005C210B">
        <w:rPr>
          <w:i/>
          <w:sz w:val="24"/>
          <w:szCs w:val="24"/>
        </w:rPr>
        <w:t xml:space="preserve"> ou bien qu’il soit assisté par une IDE ou secrétaire ayant du temps dédié.</w:t>
      </w:r>
    </w:p>
    <w:p w:rsidR="00732F2F" w:rsidRDefault="00732F2F" w:rsidP="00006EFF">
      <w:pPr>
        <w:pStyle w:val="Titre1"/>
        <w:rPr>
          <w:rFonts w:asciiTheme="minorHAnsi" w:hAnsiTheme="minorHAnsi"/>
          <w:sz w:val="24"/>
          <w:szCs w:val="24"/>
          <w:u w:val="single"/>
        </w:rPr>
      </w:pPr>
      <w:bookmarkStart w:id="2" w:name="_Toc505089295"/>
      <w:r w:rsidRPr="00CC0F04">
        <w:rPr>
          <w:rFonts w:asciiTheme="minorHAnsi" w:hAnsiTheme="minorHAnsi"/>
          <w:sz w:val="24"/>
          <w:szCs w:val="24"/>
          <w:u w:val="single"/>
        </w:rPr>
        <w:t>1-</w:t>
      </w:r>
      <w:r>
        <w:rPr>
          <w:rFonts w:asciiTheme="minorHAnsi" w:hAnsiTheme="minorHAnsi"/>
          <w:sz w:val="24"/>
          <w:szCs w:val="24"/>
          <w:u w:val="single"/>
        </w:rPr>
        <w:t xml:space="preserve"> Traçabilité des PSL</w:t>
      </w:r>
      <w:bookmarkEnd w:id="2"/>
      <w:r>
        <w:rPr>
          <w:rFonts w:asciiTheme="minorHAnsi" w:hAnsiTheme="minorHAnsi"/>
          <w:sz w:val="24"/>
          <w:szCs w:val="24"/>
          <w:u w:val="single"/>
        </w:rPr>
        <w:t> </w:t>
      </w:r>
      <w:r w:rsidR="0057152C">
        <w:rPr>
          <w:rFonts w:asciiTheme="minorHAnsi" w:hAnsiTheme="minorHAnsi"/>
          <w:sz w:val="24"/>
          <w:szCs w:val="24"/>
          <w:u w:val="single"/>
        </w:rPr>
        <w:br/>
      </w:r>
    </w:p>
    <w:p w:rsidR="0057152C" w:rsidRDefault="00F91E3F" w:rsidP="0057152C">
      <w:pPr>
        <w:rPr>
          <w:sz w:val="24"/>
          <w:szCs w:val="24"/>
        </w:rPr>
      </w:pPr>
      <w:r>
        <w:t>L</w:t>
      </w:r>
      <w:r>
        <w:rPr>
          <w:sz w:val="24"/>
          <w:szCs w:val="24"/>
        </w:rPr>
        <w:t>’organisation de la traçabilité suppose la connaissance pour chaque PSL  distribué des éléments suivants :</w:t>
      </w:r>
    </w:p>
    <w:p w:rsidR="00F91E3F" w:rsidRDefault="00F91E3F" w:rsidP="00F91E3F">
      <w:pPr>
        <w:pStyle w:val="Paragraphedeliste"/>
        <w:numPr>
          <w:ilvl w:val="0"/>
          <w:numId w:val="3"/>
        </w:numPr>
        <w:rPr>
          <w:sz w:val="24"/>
          <w:szCs w:val="24"/>
        </w:rPr>
      </w:pPr>
      <w:r>
        <w:rPr>
          <w:sz w:val="24"/>
          <w:szCs w:val="24"/>
        </w:rPr>
        <w:t>Numéro de l’unité</w:t>
      </w:r>
    </w:p>
    <w:p w:rsidR="00F91E3F" w:rsidRDefault="00F91E3F" w:rsidP="00F91E3F">
      <w:pPr>
        <w:pStyle w:val="Paragraphedeliste"/>
        <w:numPr>
          <w:ilvl w:val="0"/>
          <w:numId w:val="3"/>
        </w:numPr>
        <w:rPr>
          <w:sz w:val="24"/>
          <w:szCs w:val="24"/>
        </w:rPr>
      </w:pPr>
      <w:r>
        <w:rPr>
          <w:sz w:val="24"/>
          <w:szCs w:val="24"/>
        </w:rPr>
        <w:t>Code produit</w:t>
      </w:r>
    </w:p>
    <w:p w:rsidR="00F91E3F" w:rsidRDefault="00F91E3F" w:rsidP="00F91E3F">
      <w:pPr>
        <w:pStyle w:val="Paragraphedeliste"/>
        <w:numPr>
          <w:ilvl w:val="0"/>
          <w:numId w:val="3"/>
        </w:numPr>
        <w:rPr>
          <w:sz w:val="24"/>
          <w:szCs w:val="24"/>
        </w:rPr>
      </w:pPr>
      <w:r>
        <w:rPr>
          <w:sz w:val="24"/>
          <w:szCs w:val="24"/>
        </w:rPr>
        <w:t xml:space="preserve">Bordereau </w:t>
      </w:r>
      <w:r w:rsidR="006B0CF7">
        <w:rPr>
          <w:sz w:val="24"/>
          <w:szCs w:val="24"/>
        </w:rPr>
        <w:t>d</w:t>
      </w:r>
      <w:r>
        <w:rPr>
          <w:sz w:val="24"/>
          <w:szCs w:val="24"/>
        </w:rPr>
        <w:t>e transport et de délivrance</w:t>
      </w:r>
    </w:p>
    <w:p w:rsidR="006B0CF7" w:rsidRDefault="006B0CF7" w:rsidP="00F91E3F">
      <w:pPr>
        <w:pStyle w:val="Paragraphedeliste"/>
        <w:numPr>
          <w:ilvl w:val="0"/>
          <w:numId w:val="3"/>
        </w:numPr>
        <w:rPr>
          <w:sz w:val="24"/>
          <w:szCs w:val="24"/>
        </w:rPr>
      </w:pPr>
      <w:r>
        <w:rPr>
          <w:sz w:val="24"/>
          <w:szCs w:val="24"/>
        </w:rPr>
        <w:t>Conditions de conservation de l’unité</w:t>
      </w:r>
    </w:p>
    <w:p w:rsidR="00A52023" w:rsidRDefault="00A52023" w:rsidP="00F91E3F">
      <w:pPr>
        <w:pStyle w:val="Paragraphedeliste"/>
        <w:numPr>
          <w:ilvl w:val="0"/>
          <w:numId w:val="3"/>
        </w:numPr>
        <w:rPr>
          <w:sz w:val="24"/>
          <w:szCs w:val="24"/>
        </w:rPr>
      </w:pPr>
      <w:r>
        <w:rPr>
          <w:sz w:val="24"/>
          <w:szCs w:val="24"/>
        </w:rPr>
        <w:t>Identifications du prescripteur et de l’administrateur du PSL</w:t>
      </w:r>
    </w:p>
    <w:p w:rsidR="00A52023" w:rsidRDefault="00A52023" w:rsidP="00F91E3F">
      <w:pPr>
        <w:pStyle w:val="Paragraphedeliste"/>
        <w:numPr>
          <w:ilvl w:val="0"/>
          <w:numId w:val="3"/>
        </w:numPr>
        <w:rPr>
          <w:sz w:val="24"/>
          <w:szCs w:val="24"/>
        </w:rPr>
      </w:pPr>
      <w:r>
        <w:rPr>
          <w:sz w:val="24"/>
          <w:szCs w:val="24"/>
        </w:rPr>
        <w:t>Identification du patient transfusé</w:t>
      </w:r>
    </w:p>
    <w:p w:rsidR="00A52023" w:rsidRDefault="00A52023" w:rsidP="00F91E3F">
      <w:pPr>
        <w:pStyle w:val="Paragraphedeliste"/>
        <w:numPr>
          <w:ilvl w:val="0"/>
          <w:numId w:val="3"/>
        </w:numPr>
        <w:rPr>
          <w:sz w:val="24"/>
          <w:szCs w:val="24"/>
        </w:rPr>
      </w:pPr>
      <w:r>
        <w:rPr>
          <w:sz w:val="24"/>
          <w:szCs w:val="24"/>
        </w:rPr>
        <w:t>Devenir du PSL si non transfusé</w:t>
      </w:r>
    </w:p>
    <w:p w:rsidR="00A52023" w:rsidRDefault="00A52023" w:rsidP="00F91E3F">
      <w:pPr>
        <w:pStyle w:val="Paragraphedeliste"/>
        <w:numPr>
          <w:ilvl w:val="0"/>
          <w:numId w:val="3"/>
        </w:numPr>
        <w:rPr>
          <w:sz w:val="24"/>
          <w:szCs w:val="24"/>
        </w:rPr>
      </w:pPr>
      <w:r>
        <w:rPr>
          <w:sz w:val="24"/>
          <w:szCs w:val="24"/>
        </w:rPr>
        <w:t>Tous les éléments en cas de délivrance à un patient dans un autre ES</w:t>
      </w:r>
    </w:p>
    <w:p w:rsidR="00A52023" w:rsidRDefault="00A52023" w:rsidP="00F91E3F">
      <w:pPr>
        <w:pStyle w:val="Paragraphedeliste"/>
        <w:numPr>
          <w:ilvl w:val="0"/>
          <w:numId w:val="3"/>
        </w:numPr>
        <w:rPr>
          <w:sz w:val="24"/>
          <w:szCs w:val="24"/>
        </w:rPr>
      </w:pPr>
      <w:r>
        <w:rPr>
          <w:sz w:val="24"/>
          <w:szCs w:val="24"/>
        </w:rPr>
        <w:t>Transmission des données à l’EFS selon une périodicité définie, en l’absence de connexion informatique avec l’EFS</w:t>
      </w:r>
    </w:p>
    <w:p w:rsidR="004D7B14" w:rsidRDefault="004D7B14" w:rsidP="004D7B14">
      <w:pPr>
        <w:rPr>
          <w:sz w:val="24"/>
          <w:szCs w:val="24"/>
        </w:rPr>
      </w:pPr>
    </w:p>
    <w:p w:rsidR="004D7B14" w:rsidRPr="004D7B14" w:rsidRDefault="004D7B14" w:rsidP="004D7B14">
      <w:pPr>
        <w:rPr>
          <w:i/>
          <w:sz w:val="24"/>
          <w:szCs w:val="24"/>
        </w:rPr>
      </w:pPr>
      <w:r w:rsidRPr="004D7B14">
        <w:rPr>
          <w:rStyle w:val="lev"/>
          <w:rFonts w:ascii="Arial" w:hAnsi="Arial" w:cs="Arial"/>
          <w:i/>
          <w:color w:val="333333"/>
          <w:sz w:val="19"/>
          <w:szCs w:val="19"/>
        </w:rPr>
        <w:t>Décision du 6 novembre 2006 définissant les principes de bonnes pratiques prévus à l'article L. 1223-3 du code de la santé publique</w:t>
      </w:r>
    </w:p>
    <w:p w:rsidR="00A15297" w:rsidRPr="00CC0F04" w:rsidRDefault="00732F2F" w:rsidP="00006EFF">
      <w:pPr>
        <w:pStyle w:val="Titre1"/>
        <w:rPr>
          <w:rFonts w:asciiTheme="minorHAnsi" w:hAnsiTheme="minorHAnsi"/>
          <w:sz w:val="24"/>
          <w:szCs w:val="24"/>
          <w:u w:val="single"/>
        </w:rPr>
      </w:pPr>
      <w:bookmarkStart w:id="3" w:name="_Toc505089296"/>
      <w:r>
        <w:rPr>
          <w:rFonts w:asciiTheme="minorHAnsi" w:hAnsiTheme="minorHAnsi"/>
          <w:sz w:val="24"/>
          <w:szCs w:val="24"/>
          <w:u w:val="single"/>
        </w:rPr>
        <w:t>2</w:t>
      </w:r>
      <w:r w:rsidR="005A36E1" w:rsidRPr="00CC0F04">
        <w:rPr>
          <w:rFonts w:asciiTheme="minorHAnsi" w:hAnsiTheme="minorHAnsi"/>
          <w:sz w:val="24"/>
          <w:szCs w:val="24"/>
          <w:u w:val="single"/>
        </w:rPr>
        <w:t>-</w:t>
      </w:r>
      <w:r>
        <w:rPr>
          <w:rFonts w:asciiTheme="minorHAnsi" w:hAnsiTheme="minorHAnsi"/>
          <w:sz w:val="24"/>
          <w:szCs w:val="24"/>
          <w:u w:val="single"/>
        </w:rPr>
        <w:t xml:space="preserve"> </w:t>
      </w:r>
      <w:r w:rsidR="00441988">
        <w:rPr>
          <w:rFonts w:asciiTheme="minorHAnsi" w:hAnsiTheme="minorHAnsi"/>
          <w:sz w:val="24"/>
          <w:szCs w:val="24"/>
          <w:u w:val="single"/>
        </w:rPr>
        <w:t>L</w:t>
      </w:r>
      <w:r>
        <w:rPr>
          <w:rFonts w:asciiTheme="minorHAnsi" w:hAnsiTheme="minorHAnsi"/>
          <w:sz w:val="24"/>
          <w:szCs w:val="24"/>
          <w:u w:val="single"/>
        </w:rPr>
        <w:t>a sécurité des patients</w:t>
      </w:r>
      <w:bookmarkEnd w:id="3"/>
      <w:r>
        <w:rPr>
          <w:rFonts w:asciiTheme="minorHAnsi" w:hAnsiTheme="minorHAnsi"/>
          <w:sz w:val="24"/>
          <w:szCs w:val="24"/>
          <w:u w:val="single"/>
        </w:rPr>
        <w:t> </w:t>
      </w:r>
    </w:p>
    <w:p w:rsidR="00A02E62" w:rsidRPr="00516D5B" w:rsidRDefault="00A02E62">
      <w:pPr>
        <w:rPr>
          <w:rFonts w:ascii="Garamond" w:hAnsi="Garamond"/>
        </w:rPr>
      </w:pPr>
    </w:p>
    <w:p w:rsidR="00341AF8" w:rsidRPr="00CA71B2" w:rsidRDefault="00A02E62">
      <w:pPr>
        <w:rPr>
          <w:sz w:val="24"/>
          <w:szCs w:val="24"/>
        </w:rPr>
      </w:pPr>
      <w:r w:rsidRPr="00721CB0">
        <w:rPr>
          <w:b/>
          <w:sz w:val="24"/>
          <w:szCs w:val="24"/>
        </w:rPr>
        <w:t>Le correspondant d’hémovigilance</w:t>
      </w:r>
      <w:r w:rsidR="00A15297" w:rsidRPr="00721CB0">
        <w:rPr>
          <w:b/>
          <w:sz w:val="24"/>
          <w:szCs w:val="24"/>
        </w:rPr>
        <w:t xml:space="preserve"> doit s’assurer que les méd</w:t>
      </w:r>
      <w:r w:rsidR="007B6FBD" w:rsidRPr="00721CB0">
        <w:rPr>
          <w:b/>
          <w:sz w:val="24"/>
          <w:szCs w:val="24"/>
        </w:rPr>
        <w:t>ecins prescripteurs remettent à</w:t>
      </w:r>
      <w:r w:rsidR="00A15297" w:rsidRPr="00721CB0">
        <w:rPr>
          <w:b/>
          <w:sz w:val="24"/>
          <w:szCs w:val="24"/>
        </w:rPr>
        <w:t xml:space="preserve"> la sortie du patient</w:t>
      </w:r>
      <w:r w:rsidR="00341AF8" w:rsidRPr="00CA71B2">
        <w:rPr>
          <w:sz w:val="24"/>
          <w:szCs w:val="24"/>
        </w:rPr>
        <w:t> </w:t>
      </w:r>
      <w:r w:rsidR="00341AF8" w:rsidRPr="00721CB0">
        <w:rPr>
          <w:b/>
          <w:sz w:val="24"/>
          <w:szCs w:val="24"/>
        </w:rPr>
        <w:t>:</w:t>
      </w:r>
    </w:p>
    <w:p w:rsidR="00341AF8" w:rsidRPr="00CA71B2" w:rsidRDefault="00341AF8" w:rsidP="00341AF8">
      <w:pPr>
        <w:pStyle w:val="Paragraphedeliste"/>
        <w:numPr>
          <w:ilvl w:val="0"/>
          <w:numId w:val="2"/>
        </w:numPr>
        <w:rPr>
          <w:sz w:val="24"/>
          <w:szCs w:val="24"/>
        </w:rPr>
      </w:pPr>
      <w:r w:rsidRPr="00CA71B2">
        <w:rPr>
          <w:sz w:val="24"/>
          <w:szCs w:val="24"/>
        </w:rPr>
        <w:t>une lettre</w:t>
      </w:r>
      <w:r w:rsidR="007B6FBD" w:rsidRPr="00CA71B2">
        <w:rPr>
          <w:sz w:val="24"/>
          <w:szCs w:val="24"/>
        </w:rPr>
        <w:t xml:space="preserve"> </w:t>
      </w:r>
      <w:r w:rsidR="00A15297" w:rsidRPr="00CA71B2">
        <w:rPr>
          <w:sz w:val="24"/>
          <w:szCs w:val="24"/>
        </w:rPr>
        <w:t>les infor</w:t>
      </w:r>
      <w:r w:rsidRPr="00CA71B2">
        <w:rPr>
          <w:sz w:val="24"/>
          <w:szCs w:val="24"/>
        </w:rPr>
        <w:t>mant qu’ils ont été transfusés</w:t>
      </w:r>
    </w:p>
    <w:p w:rsidR="00A15297" w:rsidRPr="00CA71B2" w:rsidRDefault="00341AF8" w:rsidP="00341AF8">
      <w:pPr>
        <w:pStyle w:val="Paragraphedeliste"/>
        <w:numPr>
          <w:ilvl w:val="0"/>
          <w:numId w:val="2"/>
        </w:numPr>
        <w:rPr>
          <w:sz w:val="24"/>
          <w:szCs w:val="24"/>
        </w:rPr>
      </w:pPr>
      <w:r w:rsidRPr="00CA71B2">
        <w:rPr>
          <w:sz w:val="24"/>
          <w:szCs w:val="24"/>
        </w:rPr>
        <w:t>u</w:t>
      </w:r>
      <w:r w:rsidR="00A15297" w:rsidRPr="00CA71B2">
        <w:rPr>
          <w:sz w:val="24"/>
          <w:szCs w:val="24"/>
        </w:rPr>
        <w:t xml:space="preserve">ne lettre informant le médecin traitant </w:t>
      </w:r>
      <w:r w:rsidRPr="00CA71B2">
        <w:rPr>
          <w:sz w:val="24"/>
          <w:szCs w:val="24"/>
        </w:rPr>
        <w:t>que son patient a été transfusé</w:t>
      </w:r>
    </w:p>
    <w:p w:rsidR="00341AF8" w:rsidRPr="00CA71B2" w:rsidRDefault="00341AF8" w:rsidP="00341AF8">
      <w:pPr>
        <w:pStyle w:val="Paragraphedeliste"/>
        <w:numPr>
          <w:ilvl w:val="0"/>
          <w:numId w:val="2"/>
        </w:numPr>
        <w:rPr>
          <w:i/>
          <w:sz w:val="24"/>
          <w:szCs w:val="24"/>
        </w:rPr>
      </w:pPr>
      <w:r w:rsidRPr="00CA71B2">
        <w:rPr>
          <w:sz w:val="24"/>
          <w:szCs w:val="24"/>
        </w:rPr>
        <w:t xml:space="preserve">une ordonnance pour faire réaliser une RAI un mois après transfusion, avec mention: </w:t>
      </w:r>
      <w:r w:rsidRPr="00CA71B2">
        <w:rPr>
          <w:i/>
          <w:sz w:val="24"/>
          <w:szCs w:val="24"/>
        </w:rPr>
        <w:t xml:space="preserve">prière d’envoyer une copie des résultats </w:t>
      </w:r>
      <w:r w:rsidR="0074723C">
        <w:rPr>
          <w:i/>
          <w:sz w:val="24"/>
          <w:szCs w:val="24"/>
        </w:rPr>
        <w:t>au</w:t>
      </w:r>
      <w:r w:rsidRPr="00CA71B2">
        <w:rPr>
          <w:i/>
          <w:sz w:val="24"/>
          <w:szCs w:val="24"/>
        </w:rPr>
        <w:t xml:space="preserve"> </w:t>
      </w:r>
      <w:r w:rsidR="0074723C">
        <w:rPr>
          <w:i/>
          <w:sz w:val="24"/>
          <w:szCs w:val="24"/>
        </w:rPr>
        <w:t>correspondant</w:t>
      </w:r>
      <w:r w:rsidRPr="00CA71B2">
        <w:rPr>
          <w:i/>
          <w:sz w:val="24"/>
          <w:szCs w:val="24"/>
        </w:rPr>
        <w:t xml:space="preserve"> d’Hémovigilance</w:t>
      </w:r>
    </w:p>
    <w:p w:rsidR="00341AF8" w:rsidRPr="00CA71B2" w:rsidRDefault="00341AF8" w:rsidP="00341AF8">
      <w:pPr>
        <w:pStyle w:val="Paragraphedeliste"/>
        <w:rPr>
          <w:sz w:val="24"/>
          <w:szCs w:val="24"/>
        </w:rPr>
      </w:pPr>
    </w:p>
    <w:p w:rsidR="00341AF8" w:rsidRPr="00CA71B2" w:rsidRDefault="00341AF8" w:rsidP="00341AF8">
      <w:pPr>
        <w:rPr>
          <w:sz w:val="24"/>
          <w:szCs w:val="24"/>
        </w:rPr>
      </w:pPr>
      <w:r w:rsidRPr="00CA71B2">
        <w:rPr>
          <w:sz w:val="24"/>
          <w:szCs w:val="24"/>
        </w:rPr>
        <w:t>De cette façon le correspondant va pouvoir répertorier les éventuelles RAI positives et  les signaler à l’EFS et sur eFIT. Cette notion sera utile en cas de transfusion ultérieure.</w:t>
      </w:r>
    </w:p>
    <w:p w:rsidR="00341AF8" w:rsidRPr="00CA71B2" w:rsidRDefault="00341AF8">
      <w:pPr>
        <w:rPr>
          <w:sz w:val="24"/>
          <w:szCs w:val="24"/>
        </w:rPr>
      </w:pPr>
    </w:p>
    <w:p w:rsidR="00A15297" w:rsidRPr="00CA71B2" w:rsidRDefault="00341AF8">
      <w:pPr>
        <w:rPr>
          <w:sz w:val="24"/>
          <w:szCs w:val="24"/>
        </w:rPr>
      </w:pPr>
      <w:r w:rsidRPr="00CA71B2">
        <w:rPr>
          <w:sz w:val="24"/>
          <w:szCs w:val="24"/>
        </w:rPr>
        <w:t>L</w:t>
      </w:r>
      <w:r w:rsidR="00A15297" w:rsidRPr="00CA71B2">
        <w:rPr>
          <w:sz w:val="24"/>
          <w:szCs w:val="24"/>
        </w:rPr>
        <w:t xml:space="preserve">es </w:t>
      </w:r>
      <w:r w:rsidR="00656A0A" w:rsidRPr="00CA71B2">
        <w:rPr>
          <w:sz w:val="24"/>
          <w:szCs w:val="24"/>
        </w:rPr>
        <w:t xml:space="preserve">deux </w:t>
      </w:r>
      <w:r w:rsidRPr="00CA71B2">
        <w:rPr>
          <w:sz w:val="24"/>
          <w:szCs w:val="24"/>
        </w:rPr>
        <w:t xml:space="preserve">premiers </w:t>
      </w:r>
      <w:r w:rsidR="00656A0A" w:rsidRPr="00CA71B2">
        <w:rPr>
          <w:sz w:val="24"/>
          <w:szCs w:val="24"/>
        </w:rPr>
        <w:t>points s</w:t>
      </w:r>
      <w:r w:rsidRPr="00CA71B2">
        <w:rPr>
          <w:sz w:val="24"/>
          <w:szCs w:val="24"/>
        </w:rPr>
        <w:t>er</w:t>
      </w:r>
      <w:r w:rsidR="00656A0A" w:rsidRPr="00CA71B2">
        <w:rPr>
          <w:sz w:val="24"/>
          <w:szCs w:val="24"/>
        </w:rPr>
        <w:t>ont facilement réalisés si l’ES est doté d’un logiciel métier Hémovig</w:t>
      </w:r>
      <w:r w:rsidR="007B6866" w:rsidRPr="00CA71B2">
        <w:rPr>
          <w:sz w:val="24"/>
          <w:szCs w:val="24"/>
        </w:rPr>
        <w:t>i</w:t>
      </w:r>
      <w:r w:rsidR="00656A0A" w:rsidRPr="00CA71B2">
        <w:rPr>
          <w:sz w:val="24"/>
          <w:szCs w:val="24"/>
        </w:rPr>
        <w:t>lance</w:t>
      </w:r>
      <w:r w:rsidRPr="00CA71B2">
        <w:rPr>
          <w:sz w:val="24"/>
          <w:szCs w:val="24"/>
        </w:rPr>
        <w:t>.</w:t>
      </w:r>
    </w:p>
    <w:p w:rsidR="00A02E62" w:rsidRPr="00732F2F" w:rsidRDefault="00732F2F" w:rsidP="00006EFF">
      <w:pPr>
        <w:pStyle w:val="Titre1"/>
        <w:rPr>
          <w:rFonts w:asciiTheme="minorHAnsi" w:hAnsiTheme="minorHAnsi"/>
          <w:sz w:val="24"/>
          <w:szCs w:val="24"/>
          <w:u w:val="single"/>
        </w:rPr>
      </w:pPr>
      <w:bookmarkStart w:id="4" w:name="_Toc505089297"/>
      <w:r>
        <w:rPr>
          <w:rFonts w:asciiTheme="minorHAnsi" w:hAnsiTheme="minorHAnsi"/>
          <w:sz w:val="24"/>
          <w:szCs w:val="24"/>
          <w:u w:val="single"/>
        </w:rPr>
        <w:t>3</w:t>
      </w:r>
      <w:r w:rsidR="005A36E1" w:rsidRPr="00732F2F">
        <w:rPr>
          <w:rFonts w:asciiTheme="minorHAnsi" w:hAnsiTheme="minorHAnsi"/>
          <w:sz w:val="24"/>
          <w:szCs w:val="24"/>
          <w:u w:val="single"/>
        </w:rPr>
        <w:t xml:space="preserve">- </w:t>
      </w:r>
      <w:r w:rsidR="00A02E62" w:rsidRPr="00732F2F">
        <w:rPr>
          <w:rFonts w:asciiTheme="minorHAnsi" w:hAnsiTheme="minorHAnsi"/>
          <w:sz w:val="24"/>
          <w:szCs w:val="24"/>
          <w:u w:val="single"/>
        </w:rPr>
        <w:t>Déclaration des incidents transfusionnels :</w:t>
      </w:r>
      <w:bookmarkEnd w:id="4"/>
    </w:p>
    <w:p w:rsidR="005A36E1" w:rsidRPr="00516D5B" w:rsidRDefault="005A36E1">
      <w:pPr>
        <w:rPr>
          <w:rFonts w:ascii="Garamond" w:hAnsi="Garamond"/>
          <w:b/>
        </w:rPr>
      </w:pPr>
    </w:p>
    <w:p w:rsidR="00347786" w:rsidRDefault="00A02E62">
      <w:pPr>
        <w:rPr>
          <w:sz w:val="24"/>
          <w:szCs w:val="24"/>
        </w:rPr>
      </w:pPr>
      <w:r w:rsidRPr="0045284A">
        <w:rPr>
          <w:sz w:val="24"/>
          <w:szCs w:val="24"/>
        </w:rPr>
        <w:t>En cas d’incident transfusionnel</w:t>
      </w:r>
      <w:r w:rsidR="00347786">
        <w:rPr>
          <w:sz w:val="24"/>
          <w:szCs w:val="24"/>
        </w:rPr>
        <w:t xml:space="preserve"> (EIR, IG)</w:t>
      </w:r>
      <w:r w:rsidR="005A36E1" w:rsidRPr="0045284A">
        <w:rPr>
          <w:sz w:val="24"/>
          <w:szCs w:val="24"/>
        </w:rPr>
        <w:t>,</w:t>
      </w:r>
      <w:r w:rsidRPr="0045284A">
        <w:rPr>
          <w:sz w:val="24"/>
          <w:szCs w:val="24"/>
        </w:rPr>
        <w:t xml:space="preserve"> le correspondant doit </w:t>
      </w:r>
      <w:r w:rsidR="005A36E1" w:rsidRPr="0045284A">
        <w:rPr>
          <w:sz w:val="24"/>
          <w:szCs w:val="24"/>
        </w:rPr>
        <w:t>s’assurer qu’il existe des protocoles et procédures de prise en charge et de signalement, il doit</w:t>
      </w:r>
      <w:r w:rsidR="00347786">
        <w:rPr>
          <w:sz w:val="24"/>
          <w:szCs w:val="24"/>
        </w:rPr>
        <w:t> :</w:t>
      </w:r>
    </w:p>
    <w:p w:rsidR="00347786" w:rsidRPr="00347786" w:rsidRDefault="00347786" w:rsidP="00347786">
      <w:pPr>
        <w:pStyle w:val="Paragraphedeliste"/>
        <w:numPr>
          <w:ilvl w:val="0"/>
          <w:numId w:val="6"/>
        </w:numPr>
        <w:rPr>
          <w:sz w:val="24"/>
          <w:szCs w:val="24"/>
        </w:rPr>
      </w:pPr>
      <w:r>
        <w:rPr>
          <w:sz w:val="24"/>
          <w:szCs w:val="24"/>
        </w:rPr>
        <w:t>procéder aux investigations et examens appropriés dans l’</w:t>
      </w:r>
    </w:p>
    <w:p w:rsidR="00A02E62" w:rsidRDefault="00A02E62" w:rsidP="00347786">
      <w:pPr>
        <w:pStyle w:val="Paragraphedeliste"/>
        <w:numPr>
          <w:ilvl w:val="0"/>
          <w:numId w:val="5"/>
        </w:numPr>
        <w:rPr>
          <w:b/>
          <w:sz w:val="24"/>
          <w:szCs w:val="24"/>
        </w:rPr>
      </w:pPr>
      <w:r w:rsidRPr="00721CB0">
        <w:rPr>
          <w:b/>
          <w:sz w:val="24"/>
          <w:szCs w:val="24"/>
        </w:rPr>
        <w:t xml:space="preserve">faire une déclaration </w:t>
      </w:r>
      <w:r w:rsidRPr="00347786">
        <w:rPr>
          <w:sz w:val="24"/>
          <w:szCs w:val="24"/>
        </w:rPr>
        <w:t xml:space="preserve">soit sur papier fiche </w:t>
      </w:r>
      <w:r w:rsidR="00930DAD" w:rsidRPr="00347786">
        <w:rPr>
          <w:i/>
          <w:sz w:val="24"/>
          <w:szCs w:val="24"/>
        </w:rPr>
        <w:t>spécifique</w:t>
      </w:r>
      <w:r w:rsidR="00930DAD" w:rsidRPr="00347786">
        <w:rPr>
          <w:sz w:val="24"/>
          <w:szCs w:val="24"/>
        </w:rPr>
        <w:t>, soit</w:t>
      </w:r>
      <w:r w:rsidRPr="00347786">
        <w:rPr>
          <w:sz w:val="24"/>
          <w:szCs w:val="24"/>
        </w:rPr>
        <w:t xml:space="preserve"> directement sur </w:t>
      </w:r>
      <w:r w:rsidR="00006EFF" w:rsidRPr="00347786">
        <w:rPr>
          <w:b/>
          <w:sz w:val="24"/>
          <w:szCs w:val="24"/>
        </w:rPr>
        <w:t>eFIT</w:t>
      </w:r>
      <w:r w:rsidR="00CB4E05" w:rsidRPr="00347786">
        <w:rPr>
          <w:sz w:val="24"/>
          <w:szCs w:val="24"/>
        </w:rPr>
        <w:t>, qui sera transmise au CRH, à l’ANSM, et à l’ETS</w:t>
      </w:r>
    </w:p>
    <w:p w:rsidR="00347786" w:rsidRPr="00347786" w:rsidRDefault="00347786" w:rsidP="00347786">
      <w:pPr>
        <w:pStyle w:val="Paragraphedeliste"/>
        <w:numPr>
          <w:ilvl w:val="0"/>
          <w:numId w:val="5"/>
        </w:numPr>
        <w:rPr>
          <w:sz w:val="24"/>
          <w:szCs w:val="24"/>
        </w:rPr>
      </w:pPr>
      <w:r w:rsidRPr="00347786">
        <w:rPr>
          <w:sz w:val="24"/>
          <w:szCs w:val="24"/>
        </w:rPr>
        <w:lastRenderedPageBreak/>
        <w:t>adjoindre dans le dossier médical du patient la FEIR</w:t>
      </w:r>
      <w:r w:rsidR="00E8058B">
        <w:rPr>
          <w:sz w:val="24"/>
          <w:szCs w:val="24"/>
        </w:rPr>
        <w:br/>
      </w:r>
    </w:p>
    <w:p w:rsidR="007B6866" w:rsidRPr="0045284A" w:rsidRDefault="007B6866">
      <w:pPr>
        <w:rPr>
          <w:sz w:val="24"/>
          <w:szCs w:val="24"/>
        </w:rPr>
      </w:pPr>
      <w:r w:rsidRPr="0045284A">
        <w:rPr>
          <w:sz w:val="24"/>
          <w:szCs w:val="24"/>
        </w:rPr>
        <w:t xml:space="preserve">La connexion sur </w:t>
      </w:r>
      <w:r w:rsidR="00006EFF" w:rsidRPr="0045284A">
        <w:rPr>
          <w:sz w:val="24"/>
          <w:szCs w:val="24"/>
        </w:rPr>
        <w:t>eFIT</w:t>
      </w:r>
      <w:r w:rsidRPr="0045284A">
        <w:rPr>
          <w:sz w:val="24"/>
          <w:szCs w:val="24"/>
        </w:rPr>
        <w:t xml:space="preserve"> se grâce à une carte CPS</w:t>
      </w:r>
      <w:r w:rsidR="0048267D">
        <w:rPr>
          <w:sz w:val="24"/>
          <w:szCs w:val="24"/>
        </w:rPr>
        <w:t xml:space="preserve"> (à commander à l’ASIP Santé)</w:t>
      </w:r>
      <w:r w:rsidRPr="0045284A">
        <w:rPr>
          <w:sz w:val="24"/>
          <w:szCs w:val="24"/>
        </w:rPr>
        <w:t xml:space="preserve"> et lecteur de carte</w:t>
      </w:r>
      <w:r w:rsidR="006B7163">
        <w:rPr>
          <w:sz w:val="24"/>
          <w:szCs w:val="24"/>
        </w:rPr>
        <w:t xml:space="preserve"> CPS.</w:t>
      </w:r>
      <w:r w:rsidR="00E30CDB">
        <w:rPr>
          <w:sz w:val="24"/>
          <w:szCs w:val="24"/>
        </w:rPr>
        <w:br/>
        <w:t>(</w:t>
      </w:r>
      <w:r w:rsidR="00E30CDB" w:rsidRPr="00907D16">
        <w:rPr>
          <w:color w:val="002060"/>
          <w:sz w:val="24"/>
          <w:szCs w:val="24"/>
        </w:rPr>
        <w:t>https://e-fit.ansm.sante.fr</w:t>
      </w:r>
      <w:r w:rsidR="00E30CDB">
        <w:rPr>
          <w:sz w:val="24"/>
          <w:szCs w:val="24"/>
        </w:rPr>
        <w:t>)</w:t>
      </w:r>
    </w:p>
    <w:p w:rsidR="00006EFF" w:rsidRPr="00347786" w:rsidRDefault="00347786" w:rsidP="00006EFF">
      <w:pPr>
        <w:pStyle w:val="Titre1"/>
        <w:rPr>
          <w:rFonts w:asciiTheme="minorHAnsi" w:hAnsiTheme="minorHAnsi"/>
          <w:sz w:val="24"/>
          <w:szCs w:val="24"/>
          <w:u w:val="single"/>
        </w:rPr>
      </w:pPr>
      <w:bookmarkStart w:id="5" w:name="_Toc505089298"/>
      <w:r>
        <w:rPr>
          <w:rFonts w:asciiTheme="minorHAnsi" w:hAnsiTheme="minorHAnsi"/>
          <w:sz w:val="24"/>
          <w:szCs w:val="24"/>
          <w:u w:val="single"/>
        </w:rPr>
        <w:t>4</w:t>
      </w:r>
      <w:r w:rsidR="005A36E1" w:rsidRPr="00347786">
        <w:rPr>
          <w:rFonts w:asciiTheme="minorHAnsi" w:hAnsiTheme="minorHAnsi"/>
          <w:sz w:val="24"/>
          <w:szCs w:val="24"/>
          <w:u w:val="single"/>
        </w:rPr>
        <w:t xml:space="preserve">- </w:t>
      </w:r>
      <w:r w:rsidR="00006EFF" w:rsidRPr="00347786">
        <w:rPr>
          <w:rFonts w:asciiTheme="minorHAnsi" w:hAnsiTheme="minorHAnsi"/>
          <w:sz w:val="24"/>
          <w:szCs w:val="24"/>
          <w:u w:val="single"/>
        </w:rPr>
        <w:t>Enquête annuelle de l’ANSM</w:t>
      </w:r>
      <w:bookmarkEnd w:id="5"/>
      <w:r w:rsidR="00006EFF" w:rsidRPr="00347786">
        <w:rPr>
          <w:rFonts w:asciiTheme="minorHAnsi" w:hAnsiTheme="minorHAnsi"/>
          <w:sz w:val="24"/>
          <w:szCs w:val="24"/>
          <w:u w:val="single"/>
        </w:rPr>
        <w:t> </w:t>
      </w:r>
    </w:p>
    <w:p w:rsidR="00006EFF" w:rsidRPr="00516D5B" w:rsidRDefault="00006EFF">
      <w:pPr>
        <w:rPr>
          <w:rFonts w:ascii="Garamond" w:hAnsi="Garamond"/>
          <w:b/>
        </w:rPr>
      </w:pPr>
    </w:p>
    <w:p w:rsidR="007B6866" w:rsidRPr="0074723C" w:rsidRDefault="00006EFF">
      <w:pPr>
        <w:rPr>
          <w:sz w:val="24"/>
          <w:szCs w:val="24"/>
        </w:rPr>
      </w:pPr>
      <w:r w:rsidRPr="0074723C">
        <w:rPr>
          <w:sz w:val="24"/>
          <w:szCs w:val="24"/>
        </w:rPr>
        <w:t>C</w:t>
      </w:r>
      <w:r w:rsidR="00A02E62" w:rsidRPr="0074723C">
        <w:rPr>
          <w:sz w:val="24"/>
          <w:szCs w:val="24"/>
        </w:rPr>
        <w:t>haque année l’ANSM lance une enquête</w:t>
      </w:r>
      <w:r w:rsidR="0074723C">
        <w:rPr>
          <w:sz w:val="24"/>
          <w:szCs w:val="24"/>
        </w:rPr>
        <w:t xml:space="preserve"> nationale</w:t>
      </w:r>
      <w:r w:rsidR="00A02E62" w:rsidRPr="0074723C">
        <w:rPr>
          <w:sz w:val="24"/>
          <w:szCs w:val="24"/>
        </w:rPr>
        <w:t>, qui décrit l’activité transfusionnelle des établissements</w:t>
      </w:r>
      <w:r w:rsidR="00A02E62" w:rsidRPr="00721CB0">
        <w:rPr>
          <w:b/>
          <w:sz w:val="24"/>
          <w:szCs w:val="24"/>
        </w:rPr>
        <w:t xml:space="preserve">. </w:t>
      </w:r>
      <w:r w:rsidR="0074723C" w:rsidRPr="00721CB0">
        <w:rPr>
          <w:b/>
          <w:sz w:val="24"/>
          <w:szCs w:val="24"/>
        </w:rPr>
        <w:t>Le</w:t>
      </w:r>
      <w:r w:rsidR="00A02E62" w:rsidRPr="00721CB0">
        <w:rPr>
          <w:b/>
          <w:sz w:val="24"/>
          <w:szCs w:val="24"/>
        </w:rPr>
        <w:t xml:space="preserve"> </w:t>
      </w:r>
      <w:r w:rsidR="0074723C" w:rsidRPr="00721CB0">
        <w:rPr>
          <w:b/>
          <w:sz w:val="24"/>
          <w:szCs w:val="24"/>
        </w:rPr>
        <w:t>CHV</w:t>
      </w:r>
      <w:r w:rsidR="00A02E62" w:rsidRPr="00721CB0">
        <w:rPr>
          <w:b/>
          <w:sz w:val="24"/>
          <w:szCs w:val="24"/>
        </w:rPr>
        <w:t xml:space="preserve"> peut </w:t>
      </w:r>
      <w:r w:rsidR="0074723C" w:rsidRPr="00721CB0">
        <w:rPr>
          <w:b/>
          <w:sz w:val="24"/>
          <w:szCs w:val="24"/>
        </w:rPr>
        <w:t>être assisté</w:t>
      </w:r>
      <w:r w:rsidR="0074723C">
        <w:rPr>
          <w:sz w:val="24"/>
          <w:szCs w:val="24"/>
        </w:rPr>
        <w:t xml:space="preserve"> dans cette tâche</w:t>
      </w:r>
      <w:r w:rsidR="00A02E62" w:rsidRPr="0074723C">
        <w:rPr>
          <w:sz w:val="24"/>
          <w:szCs w:val="24"/>
        </w:rPr>
        <w:t xml:space="preserve"> </w:t>
      </w:r>
      <w:r w:rsidR="0074723C">
        <w:rPr>
          <w:sz w:val="24"/>
          <w:szCs w:val="24"/>
        </w:rPr>
        <w:t xml:space="preserve">par </w:t>
      </w:r>
      <w:r w:rsidR="00A02E62" w:rsidRPr="0074723C">
        <w:rPr>
          <w:sz w:val="24"/>
          <w:szCs w:val="24"/>
        </w:rPr>
        <w:t xml:space="preserve"> </w:t>
      </w:r>
      <w:r w:rsidR="007B6866" w:rsidRPr="0074723C">
        <w:rPr>
          <w:sz w:val="24"/>
          <w:szCs w:val="24"/>
        </w:rPr>
        <w:t xml:space="preserve">à une </w:t>
      </w:r>
      <w:r w:rsidR="0074723C">
        <w:rPr>
          <w:sz w:val="24"/>
          <w:szCs w:val="24"/>
        </w:rPr>
        <w:t xml:space="preserve">infirmière, </w:t>
      </w:r>
      <w:r w:rsidR="007B6866" w:rsidRPr="0074723C">
        <w:rPr>
          <w:sz w:val="24"/>
          <w:szCs w:val="24"/>
        </w:rPr>
        <w:t xml:space="preserve">cadre </w:t>
      </w:r>
      <w:r w:rsidR="0074723C">
        <w:rPr>
          <w:sz w:val="24"/>
          <w:szCs w:val="24"/>
        </w:rPr>
        <w:t xml:space="preserve">de santé </w:t>
      </w:r>
      <w:r w:rsidR="007B6866" w:rsidRPr="0074723C">
        <w:rPr>
          <w:sz w:val="24"/>
          <w:szCs w:val="24"/>
        </w:rPr>
        <w:t>qui serait affecté à la cellule d’hémovigilance</w:t>
      </w:r>
      <w:r w:rsidR="0074723C">
        <w:rPr>
          <w:sz w:val="24"/>
          <w:szCs w:val="24"/>
        </w:rPr>
        <w:t xml:space="preserve"> de l’ES, voire la cellule qualité</w:t>
      </w:r>
      <w:r w:rsidR="007B6866" w:rsidRPr="0074723C">
        <w:rPr>
          <w:sz w:val="24"/>
          <w:szCs w:val="24"/>
        </w:rPr>
        <w:t>.</w:t>
      </w:r>
    </w:p>
    <w:p w:rsidR="007B6866" w:rsidRPr="0074723C" w:rsidRDefault="007B6866">
      <w:pPr>
        <w:rPr>
          <w:sz w:val="24"/>
          <w:szCs w:val="24"/>
        </w:rPr>
      </w:pPr>
    </w:p>
    <w:p w:rsidR="007B6866" w:rsidRPr="0074723C" w:rsidRDefault="007B6866">
      <w:pPr>
        <w:rPr>
          <w:sz w:val="24"/>
          <w:szCs w:val="24"/>
        </w:rPr>
      </w:pPr>
      <w:r w:rsidRPr="0074723C">
        <w:rPr>
          <w:sz w:val="24"/>
          <w:szCs w:val="24"/>
        </w:rPr>
        <w:t xml:space="preserve">Cette enquête est réalisée soit sur </w:t>
      </w:r>
      <w:r w:rsidR="003C1CE7">
        <w:rPr>
          <w:sz w:val="24"/>
          <w:szCs w:val="24"/>
        </w:rPr>
        <w:t>formulaire</w:t>
      </w:r>
      <w:r w:rsidRPr="0074723C">
        <w:rPr>
          <w:sz w:val="24"/>
          <w:szCs w:val="24"/>
        </w:rPr>
        <w:t xml:space="preserve"> papier pré-imprimée soit saisie directement sur </w:t>
      </w:r>
      <w:r w:rsidR="00006EFF" w:rsidRPr="0074723C">
        <w:rPr>
          <w:sz w:val="24"/>
          <w:szCs w:val="24"/>
        </w:rPr>
        <w:t>eFIT</w:t>
      </w:r>
      <w:r w:rsidR="0074723C">
        <w:rPr>
          <w:sz w:val="24"/>
          <w:szCs w:val="24"/>
        </w:rPr>
        <w:t xml:space="preserve">, </w:t>
      </w:r>
      <w:r w:rsidR="003C1CE7">
        <w:rPr>
          <w:sz w:val="24"/>
          <w:szCs w:val="24"/>
        </w:rPr>
        <w:t xml:space="preserve">qui est </w:t>
      </w:r>
      <w:r w:rsidR="0074723C">
        <w:rPr>
          <w:sz w:val="24"/>
          <w:szCs w:val="24"/>
        </w:rPr>
        <w:t xml:space="preserve">doté d’un module </w:t>
      </w:r>
      <w:r w:rsidR="003C1CE7">
        <w:rPr>
          <w:sz w:val="24"/>
          <w:szCs w:val="24"/>
        </w:rPr>
        <w:t>dédié à cette fonctionnalité</w:t>
      </w:r>
      <w:r w:rsidR="00F960C9" w:rsidRPr="0074723C">
        <w:rPr>
          <w:sz w:val="24"/>
          <w:szCs w:val="24"/>
        </w:rPr>
        <w:t>.</w:t>
      </w:r>
    </w:p>
    <w:p w:rsidR="00F960C9" w:rsidRPr="0074723C" w:rsidRDefault="00F960C9">
      <w:pPr>
        <w:rPr>
          <w:sz w:val="24"/>
          <w:szCs w:val="24"/>
        </w:rPr>
      </w:pPr>
      <w:r w:rsidRPr="0074723C">
        <w:rPr>
          <w:sz w:val="24"/>
          <w:szCs w:val="24"/>
        </w:rPr>
        <w:t>Si le déclarant n’est pas médecin</w:t>
      </w:r>
      <w:r w:rsidR="005E3522">
        <w:rPr>
          <w:sz w:val="24"/>
          <w:szCs w:val="24"/>
        </w:rPr>
        <w:t>,</w:t>
      </w:r>
      <w:r w:rsidRPr="0074723C">
        <w:rPr>
          <w:sz w:val="24"/>
          <w:szCs w:val="24"/>
        </w:rPr>
        <w:t xml:space="preserve"> il peut</w:t>
      </w:r>
      <w:r w:rsidR="005E3522">
        <w:rPr>
          <w:sz w:val="24"/>
          <w:szCs w:val="24"/>
        </w:rPr>
        <w:t xml:space="preserve"> tout de même être enregistré dans eFIT</w:t>
      </w:r>
      <w:r w:rsidRPr="0074723C">
        <w:rPr>
          <w:sz w:val="24"/>
          <w:szCs w:val="24"/>
        </w:rPr>
        <w:t xml:space="preserve"> </w:t>
      </w:r>
      <w:r w:rsidR="005E3522">
        <w:rPr>
          <w:sz w:val="24"/>
          <w:szCs w:val="24"/>
        </w:rPr>
        <w:t>afin d’avoir des droits à la saisie de données</w:t>
      </w:r>
      <w:r w:rsidRPr="0074723C">
        <w:rPr>
          <w:sz w:val="24"/>
          <w:szCs w:val="24"/>
        </w:rPr>
        <w:t xml:space="preserve"> mais il faut qu’il soit </w:t>
      </w:r>
      <w:r w:rsidR="005E3522">
        <w:rPr>
          <w:sz w:val="24"/>
          <w:szCs w:val="24"/>
        </w:rPr>
        <w:t>détenteur</w:t>
      </w:r>
      <w:r w:rsidRPr="0074723C">
        <w:rPr>
          <w:sz w:val="24"/>
          <w:szCs w:val="24"/>
        </w:rPr>
        <w:t xml:space="preserve"> d’une carte CPA(Autorisé) ou CPE (Etablissement)</w:t>
      </w:r>
      <w:r w:rsidR="005E3522">
        <w:rPr>
          <w:sz w:val="24"/>
          <w:szCs w:val="24"/>
        </w:rPr>
        <w:t xml:space="preserve"> délivrée par l’ASIP</w:t>
      </w:r>
      <w:r w:rsidR="00E77A4A" w:rsidRPr="0074723C">
        <w:rPr>
          <w:sz w:val="24"/>
          <w:szCs w:val="24"/>
        </w:rPr>
        <w:t>.</w:t>
      </w:r>
    </w:p>
    <w:p w:rsidR="00F960C9" w:rsidRPr="00E56B9B" w:rsidRDefault="007062C4" w:rsidP="00006EFF">
      <w:pPr>
        <w:pStyle w:val="Titre1"/>
        <w:rPr>
          <w:rFonts w:asciiTheme="minorHAnsi" w:hAnsiTheme="minorHAnsi"/>
          <w:sz w:val="24"/>
          <w:szCs w:val="24"/>
          <w:u w:val="single"/>
        </w:rPr>
      </w:pPr>
      <w:bookmarkStart w:id="6" w:name="_Toc505089299"/>
      <w:r>
        <w:rPr>
          <w:rFonts w:asciiTheme="minorHAnsi" w:hAnsiTheme="minorHAnsi"/>
          <w:sz w:val="24"/>
          <w:szCs w:val="24"/>
          <w:u w:val="single"/>
        </w:rPr>
        <w:t>5</w:t>
      </w:r>
      <w:r w:rsidR="005A36E1" w:rsidRPr="00E56B9B">
        <w:rPr>
          <w:rFonts w:asciiTheme="minorHAnsi" w:hAnsiTheme="minorHAnsi"/>
          <w:sz w:val="24"/>
          <w:szCs w:val="24"/>
          <w:u w:val="single"/>
        </w:rPr>
        <w:t xml:space="preserve">- </w:t>
      </w:r>
      <w:r w:rsidR="00E56B9B">
        <w:rPr>
          <w:rFonts w:asciiTheme="minorHAnsi" w:hAnsiTheme="minorHAnsi"/>
          <w:sz w:val="24"/>
          <w:szCs w:val="24"/>
          <w:u w:val="single"/>
        </w:rPr>
        <w:t>S</w:t>
      </w:r>
      <w:r w:rsidR="00F960C9" w:rsidRPr="00E56B9B">
        <w:rPr>
          <w:rFonts w:asciiTheme="minorHAnsi" w:hAnsiTheme="minorHAnsi"/>
          <w:sz w:val="24"/>
          <w:szCs w:val="24"/>
          <w:u w:val="single"/>
        </w:rPr>
        <w:t>CSTH</w:t>
      </w:r>
      <w:r w:rsidR="00E56B9B">
        <w:rPr>
          <w:rFonts w:asciiTheme="minorHAnsi" w:hAnsiTheme="minorHAnsi"/>
          <w:sz w:val="24"/>
          <w:szCs w:val="24"/>
          <w:u w:val="single"/>
        </w:rPr>
        <w:t> : (sous)-</w:t>
      </w:r>
      <w:r w:rsidR="00F960C9" w:rsidRPr="00E56B9B">
        <w:rPr>
          <w:rFonts w:asciiTheme="minorHAnsi" w:hAnsiTheme="minorHAnsi"/>
          <w:sz w:val="24"/>
          <w:szCs w:val="24"/>
          <w:u w:val="single"/>
        </w:rPr>
        <w:t xml:space="preserve">comité de sécurité transfusionnelle et </w:t>
      </w:r>
      <w:r w:rsidR="0033532A" w:rsidRPr="00E56B9B">
        <w:rPr>
          <w:rFonts w:asciiTheme="minorHAnsi" w:hAnsiTheme="minorHAnsi"/>
          <w:sz w:val="24"/>
          <w:szCs w:val="24"/>
          <w:u w:val="single"/>
        </w:rPr>
        <w:t>h</w:t>
      </w:r>
      <w:r w:rsidR="00F960C9" w:rsidRPr="00E56B9B">
        <w:rPr>
          <w:rFonts w:asciiTheme="minorHAnsi" w:hAnsiTheme="minorHAnsi"/>
          <w:sz w:val="24"/>
          <w:szCs w:val="24"/>
          <w:u w:val="single"/>
        </w:rPr>
        <w:t>émovigilance</w:t>
      </w:r>
      <w:bookmarkEnd w:id="6"/>
    </w:p>
    <w:p w:rsidR="00F960C9" w:rsidRPr="00E56B9B" w:rsidRDefault="00F960C9"/>
    <w:p w:rsidR="00F960C9" w:rsidRPr="00E56B9B" w:rsidRDefault="00F960C9">
      <w:pPr>
        <w:rPr>
          <w:sz w:val="24"/>
          <w:szCs w:val="24"/>
        </w:rPr>
      </w:pPr>
      <w:r w:rsidRPr="00721CB0">
        <w:rPr>
          <w:b/>
          <w:sz w:val="24"/>
          <w:szCs w:val="24"/>
        </w:rPr>
        <w:t xml:space="preserve">Le </w:t>
      </w:r>
      <w:r w:rsidR="00E56B9B" w:rsidRPr="00721CB0">
        <w:rPr>
          <w:b/>
          <w:sz w:val="24"/>
          <w:szCs w:val="24"/>
        </w:rPr>
        <w:t>CHV</w:t>
      </w:r>
      <w:r w:rsidRPr="00721CB0">
        <w:rPr>
          <w:b/>
          <w:sz w:val="24"/>
          <w:szCs w:val="24"/>
        </w:rPr>
        <w:t xml:space="preserve"> constitue</w:t>
      </w:r>
      <w:r w:rsidR="00006EFF" w:rsidRPr="00721CB0">
        <w:rPr>
          <w:b/>
          <w:sz w:val="24"/>
          <w:szCs w:val="24"/>
        </w:rPr>
        <w:t>,</w:t>
      </w:r>
      <w:r w:rsidRPr="00721CB0">
        <w:rPr>
          <w:b/>
          <w:sz w:val="24"/>
          <w:szCs w:val="24"/>
        </w:rPr>
        <w:t xml:space="preserve"> réunit et anime le </w:t>
      </w:r>
      <w:r w:rsidR="003B57B9" w:rsidRPr="00721CB0">
        <w:rPr>
          <w:b/>
          <w:sz w:val="24"/>
          <w:szCs w:val="24"/>
        </w:rPr>
        <w:t>CSTH</w:t>
      </w:r>
      <w:r w:rsidR="003B57B9" w:rsidRPr="00E56B9B">
        <w:rPr>
          <w:sz w:val="24"/>
          <w:szCs w:val="24"/>
        </w:rPr>
        <w:t xml:space="preserve">. </w:t>
      </w:r>
      <w:r w:rsidR="003B57B9">
        <w:rPr>
          <w:sz w:val="24"/>
          <w:szCs w:val="24"/>
        </w:rPr>
        <w:t>B</w:t>
      </w:r>
      <w:r w:rsidRPr="00E56B9B">
        <w:rPr>
          <w:sz w:val="24"/>
          <w:szCs w:val="24"/>
        </w:rPr>
        <w:t>ien que ce comité ait disparu pour être une sous-commission de l</w:t>
      </w:r>
      <w:r w:rsidR="0061699A" w:rsidRPr="00E56B9B">
        <w:rPr>
          <w:sz w:val="24"/>
          <w:szCs w:val="24"/>
        </w:rPr>
        <w:t xml:space="preserve">a CME, il est souhaitable </w:t>
      </w:r>
      <w:r w:rsidRPr="00E56B9B">
        <w:rPr>
          <w:sz w:val="24"/>
          <w:szCs w:val="24"/>
        </w:rPr>
        <w:t>de le réunir une fois par an au minimum. Au cours de ce comité le correspondant pourra évaluer  s’il y a des destructions de PSL par mauvaises pratiques et proposer des piste</w:t>
      </w:r>
      <w:r w:rsidR="005A36E1" w:rsidRPr="00E56B9B">
        <w:rPr>
          <w:sz w:val="24"/>
          <w:szCs w:val="24"/>
        </w:rPr>
        <w:t>s</w:t>
      </w:r>
      <w:r w:rsidRPr="00E56B9B">
        <w:rPr>
          <w:sz w:val="24"/>
          <w:szCs w:val="24"/>
        </w:rPr>
        <w:t xml:space="preserve"> d’amélioration en partenariat avec la cellule qualité.</w:t>
      </w:r>
      <w:r w:rsidR="005A36E1" w:rsidRPr="00E56B9B">
        <w:rPr>
          <w:sz w:val="24"/>
          <w:szCs w:val="24"/>
        </w:rPr>
        <w:t xml:space="preserve"> Au cours de ce  comité le correspondant rencontre les correspondants EFS et le </w:t>
      </w:r>
      <w:r w:rsidR="005A36E1" w:rsidRPr="00721CB0">
        <w:rPr>
          <w:b/>
          <w:sz w:val="24"/>
          <w:szCs w:val="24"/>
        </w:rPr>
        <w:t>Coordonnateur Régional d’Hémovigilance</w:t>
      </w:r>
      <w:r w:rsidR="008E6A63" w:rsidRPr="00721CB0">
        <w:rPr>
          <w:b/>
          <w:sz w:val="24"/>
          <w:szCs w:val="24"/>
        </w:rPr>
        <w:t xml:space="preserve"> (</w:t>
      </w:r>
      <w:r w:rsidR="005A36E1" w:rsidRPr="00721CB0">
        <w:rPr>
          <w:b/>
          <w:sz w:val="24"/>
          <w:szCs w:val="24"/>
        </w:rPr>
        <w:t>CRH</w:t>
      </w:r>
      <w:r w:rsidR="008E6A63" w:rsidRPr="00721CB0">
        <w:rPr>
          <w:b/>
          <w:sz w:val="24"/>
          <w:szCs w:val="24"/>
        </w:rPr>
        <w:t>)</w:t>
      </w:r>
      <w:r w:rsidR="005A36E1" w:rsidRPr="00721CB0">
        <w:rPr>
          <w:b/>
          <w:sz w:val="24"/>
          <w:szCs w:val="24"/>
        </w:rPr>
        <w:t xml:space="preserve"> </w:t>
      </w:r>
      <w:r w:rsidR="005A36E1" w:rsidRPr="00E56B9B">
        <w:rPr>
          <w:sz w:val="24"/>
          <w:szCs w:val="24"/>
        </w:rPr>
        <w:t xml:space="preserve">auquel il peut soumettre des </w:t>
      </w:r>
      <w:r w:rsidR="008E6A63" w:rsidRPr="00E56B9B">
        <w:rPr>
          <w:sz w:val="24"/>
          <w:szCs w:val="24"/>
        </w:rPr>
        <w:t>problématiques</w:t>
      </w:r>
      <w:r w:rsidR="005A36E1" w:rsidRPr="00E56B9B">
        <w:rPr>
          <w:sz w:val="24"/>
          <w:szCs w:val="24"/>
        </w:rPr>
        <w:t xml:space="preserve"> </w:t>
      </w:r>
      <w:r w:rsidR="008E6A63" w:rsidRPr="00E56B9B">
        <w:rPr>
          <w:sz w:val="24"/>
          <w:szCs w:val="24"/>
        </w:rPr>
        <w:t>et</w:t>
      </w:r>
      <w:r w:rsidR="005A36E1" w:rsidRPr="00E56B9B">
        <w:rPr>
          <w:sz w:val="24"/>
          <w:szCs w:val="24"/>
        </w:rPr>
        <w:t xml:space="preserve"> demander une aide</w:t>
      </w:r>
      <w:r w:rsidR="00C7717D" w:rsidRPr="00E56B9B">
        <w:rPr>
          <w:sz w:val="24"/>
          <w:szCs w:val="24"/>
        </w:rPr>
        <w:t xml:space="preserve"> à leurs résolutions (parfois sous forme d’audit, d’instruction, ou d’inspection)</w:t>
      </w:r>
      <w:r w:rsidR="005A36E1" w:rsidRPr="00E56B9B">
        <w:rPr>
          <w:sz w:val="24"/>
          <w:szCs w:val="24"/>
        </w:rPr>
        <w:t>.</w:t>
      </w:r>
    </w:p>
    <w:p w:rsidR="0033532A" w:rsidRDefault="0033532A">
      <w:pPr>
        <w:rPr>
          <w:sz w:val="24"/>
          <w:szCs w:val="24"/>
        </w:rPr>
      </w:pPr>
      <w:r w:rsidRPr="00E56B9B">
        <w:rPr>
          <w:sz w:val="24"/>
          <w:szCs w:val="24"/>
        </w:rPr>
        <w:t>Des bilans d’activités sont présentés à l’occasion des SCSTH, un rapport annuel d’activité doit être transmis au président de la CME, au directeur d’ES, et à l’ARS (CRH PACA).</w:t>
      </w:r>
    </w:p>
    <w:p w:rsidR="007062C4" w:rsidRPr="00E56B9B" w:rsidRDefault="007062C4" w:rsidP="007062C4">
      <w:pPr>
        <w:pStyle w:val="Titre1"/>
        <w:rPr>
          <w:rFonts w:asciiTheme="minorHAnsi" w:hAnsiTheme="minorHAnsi"/>
          <w:sz w:val="24"/>
          <w:szCs w:val="24"/>
          <w:u w:val="single"/>
        </w:rPr>
      </w:pPr>
      <w:bookmarkStart w:id="7" w:name="_Toc505089300"/>
      <w:r>
        <w:rPr>
          <w:rFonts w:asciiTheme="minorHAnsi" w:hAnsiTheme="minorHAnsi"/>
          <w:sz w:val="24"/>
          <w:szCs w:val="24"/>
          <w:u w:val="single"/>
        </w:rPr>
        <w:t>5</w:t>
      </w:r>
      <w:r w:rsidRPr="00E56B9B">
        <w:rPr>
          <w:rFonts w:asciiTheme="minorHAnsi" w:hAnsiTheme="minorHAnsi"/>
          <w:sz w:val="24"/>
          <w:szCs w:val="24"/>
          <w:u w:val="single"/>
        </w:rPr>
        <w:t xml:space="preserve">- </w:t>
      </w:r>
      <w:r>
        <w:rPr>
          <w:rFonts w:asciiTheme="minorHAnsi" w:hAnsiTheme="minorHAnsi"/>
          <w:sz w:val="24"/>
          <w:szCs w:val="24"/>
          <w:u w:val="single"/>
        </w:rPr>
        <w:t>Elaboration de procédures</w:t>
      </w:r>
      <w:r w:rsidRPr="00E56B9B">
        <w:rPr>
          <w:rFonts w:asciiTheme="minorHAnsi" w:hAnsiTheme="minorHAnsi"/>
          <w:sz w:val="24"/>
          <w:szCs w:val="24"/>
          <w:u w:val="single"/>
        </w:rPr>
        <w:t xml:space="preserve"> </w:t>
      </w:r>
      <w:r>
        <w:rPr>
          <w:rFonts w:asciiTheme="minorHAnsi" w:hAnsiTheme="minorHAnsi"/>
          <w:sz w:val="24"/>
          <w:szCs w:val="24"/>
          <w:u w:val="single"/>
        </w:rPr>
        <w:t xml:space="preserve">ou protocoles </w:t>
      </w:r>
      <w:r w:rsidRPr="00E56B9B">
        <w:rPr>
          <w:rFonts w:asciiTheme="minorHAnsi" w:hAnsiTheme="minorHAnsi"/>
          <w:sz w:val="24"/>
          <w:szCs w:val="24"/>
          <w:u w:val="single"/>
        </w:rPr>
        <w:t>de sécurité transfusionnelle et hémovigilance</w:t>
      </w:r>
      <w:bookmarkEnd w:id="7"/>
    </w:p>
    <w:p w:rsidR="007062C4" w:rsidRDefault="007062C4">
      <w:pPr>
        <w:rPr>
          <w:sz w:val="24"/>
          <w:szCs w:val="24"/>
        </w:rPr>
      </w:pPr>
    </w:p>
    <w:p w:rsidR="007062C4" w:rsidRDefault="007062C4" w:rsidP="007062C4">
      <w:pPr>
        <w:pStyle w:val="Paragraphedeliste"/>
        <w:numPr>
          <w:ilvl w:val="0"/>
          <w:numId w:val="7"/>
        </w:numPr>
        <w:rPr>
          <w:sz w:val="24"/>
          <w:szCs w:val="24"/>
        </w:rPr>
      </w:pPr>
      <w:r>
        <w:rPr>
          <w:sz w:val="24"/>
          <w:szCs w:val="24"/>
        </w:rPr>
        <w:t>En collaboration avec les professionnels de santé de l’ES, EFS, ARS</w:t>
      </w:r>
    </w:p>
    <w:p w:rsidR="007062C4" w:rsidRDefault="007062C4" w:rsidP="007062C4">
      <w:pPr>
        <w:pStyle w:val="Paragraphedeliste"/>
        <w:numPr>
          <w:ilvl w:val="0"/>
          <w:numId w:val="7"/>
        </w:numPr>
        <w:rPr>
          <w:sz w:val="24"/>
          <w:szCs w:val="24"/>
        </w:rPr>
      </w:pPr>
      <w:r>
        <w:rPr>
          <w:sz w:val="24"/>
          <w:szCs w:val="24"/>
        </w:rPr>
        <w:t>Diffusion et accessibilité auprès des professionnels</w:t>
      </w:r>
    </w:p>
    <w:p w:rsidR="007062C4" w:rsidRDefault="007062C4" w:rsidP="007062C4">
      <w:pPr>
        <w:pStyle w:val="Paragraphedeliste"/>
        <w:numPr>
          <w:ilvl w:val="0"/>
          <w:numId w:val="7"/>
        </w:numPr>
        <w:rPr>
          <w:sz w:val="24"/>
          <w:szCs w:val="24"/>
        </w:rPr>
      </w:pPr>
      <w:r>
        <w:rPr>
          <w:sz w:val="24"/>
          <w:szCs w:val="24"/>
        </w:rPr>
        <w:t>Mise</w:t>
      </w:r>
      <w:r w:rsidR="00AB2398">
        <w:rPr>
          <w:sz w:val="24"/>
          <w:szCs w:val="24"/>
        </w:rPr>
        <w:t>s</w:t>
      </w:r>
      <w:r>
        <w:rPr>
          <w:sz w:val="24"/>
          <w:szCs w:val="24"/>
        </w:rPr>
        <w:t xml:space="preserve"> à jour régulières</w:t>
      </w:r>
    </w:p>
    <w:p w:rsidR="00CC172D" w:rsidRPr="007062C4" w:rsidRDefault="00CC172D" w:rsidP="007062C4">
      <w:pPr>
        <w:pStyle w:val="Paragraphedeliste"/>
        <w:numPr>
          <w:ilvl w:val="0"/>
          <w:numId w:val="7"/>
        </w:numPr>
        <w:rPr>
          <w:sz w:val="24"/>
          <w:szCs w:val="24"/>
        </w:rPr>
      </w:pPr>
      <w:r>
        <w:rPr>
          <w:sz w:val="24"/>
          <w:szCs w:val="24"/>
        </w:rPr>
        <w:t>Evaluations de la connaissance et de l’application des procédures et protocoles</w:t>
      </w:r>
    </w:p>
    <w:p w:rsidR="00F960C9" w:rsidRPr="00E56B9B" w:rsidRDefault="005A36E1" w:rsidP="00006EFF">
      <w:pPr>
        <w:pStyle w:val="Titre1"/>
        <w:rPr>
          <w:rFonts w:asciiTheme="minorHAnsi" w:hAnsiTheme="minorHAnsi"/>
          <w:sz w:val="24"/>
          <w:szCs w:val="24"/>
          <w:u w:val="single"/>
        </w:rPr>
      </w:pPr>
      <w:bookmarkStart w:id="8" w:name="_Toc505089301"/>
      <w:r w:rsidRPr="00E56B9B">
        <w:rPr>
          <w:rFonts w:asciiTheme="minorHAnsi" w:hAnsiTheme="minorHAnsi"/>
          <w:sz w:val="24"/>
          <w:szCs w:val="24"/>
          <w:u w:val="single"/>
        </w:rPr>
        <w:t xml:space="preserve">5- </w:t>
      </w:r>
      <w:r w:rsidR="00006EFF" w:rsidRPr="00E56B9B">
        <w:rPr>
          <w:rFonts w:asciiTheme="minorHAnsi" w:hAnsiTheme="minorHAnsi"/>
          <w:sz w:val="24"/>
          <w:szCs w:val="24"/>
          <w:u w:val="single"/>
        </w:rPr>
        <w:t>Actions de formation</w:t>
      </w:r>
      <w:bookmarkEnd w:id="8"/>
      <w:r w:rsidR="00006EFF" w:rsidRPr="00E56B9B">
        <w:rPr>
          <w:rFonts w:asciiTheme="minorHAnsi" w:hAnsiTheme="minorHAnsi"/>
          <w:sz w:val="24"/>
          <w:szCs w:val="24"/>
          <w:u w:val="single"/>
        </w:rPr>
        <w:t> </w:t>
      </w:r>
    </w:p>
    <w:p w:rsidR="00006EFF" w:rsidRPr="00E56B9B" w:rsidRDefault="00006EFF">
      <w:pPr>
        <w:rPr>
          <w:b/>
        </w:rPr>
      </w:pPr>
    </w:p>
    <w:p w:rsidR="007B6866" w:rsidRPr="00E56B9B" w:rsidRDefault="00006EFF">
      <w:pPr>
        <w:rPr>
          <w:sz w:val="24"/>
          <w:szCs w:val="24"/>
        </w:rPr>
      </w:pPr>
      <w:r w:rsidRPr="00E56B9B">
        <w:rPr>
          <w:sz w:val="24"/>
          <w:szCs w:val="24"/>
        </w:rPr>
        <w:t>Le</w:t>
      </w:r>
      <w:r w:rsidR="007B6866" w:rsidRPr="00E56B9B">
        <w:rPr>
          <w:sz w:val="24"/>
          <w:szCs w:val="24"/>
        </w:rPr>
        <w:t xml:space="preserve"> correspondant réalise</w:t>
      </w:r>
      <w:r w:rsidRPr="00E56B9B">
        <w:rPr>
          <w:sz w:val="24"/>
          <w:szCs w:val="24"/>
        </w:rPr>
        <w:t> des :</w:t>
      </w:r>
    </w:p>
    <w:p w:rsidR="007B6866" w:rsidRPr="00E56B9B" w:rsidRDefault="00006EFF" w:rsidP="00006EFF">
      <w:pPr>
        <w:pStyle w:val="Paragraphedeliste"/>
        <w:numPr>
          <w:ilvl w:val="0"/>
          <w:numId w:val="1"/>
        </w:numPr>
        <w:rPr>
          <w:sz w:val="24"/>
          <w:szCs w:val="24"/>
        </w:rPr>
      </w:pPr>
      <w:r w:rsidRPr="00E56B9B">
        <w:rPr>
          <w:sz w:val="24"/>
          <w:szCs w:val="24"/>
        </w:rPr>
        <w:t>Audits de bonnes pratiques</w:t>
      </w:r>
    </w:p>
    <w:p w:rsidR="00BD2704" w:rsidRDefault="00006EFF" w:rsidP="00006EFF">
      <w:pPr>
        <w:pStyle w:val="Paragraphedeliste"/>
        <w:numPr>
          <w:ilvl w:val="0"/>
          <w:numId w:val="1"/>
        </w:numPr>
        <w:rPr>
          <w:sz w:val="24"/>
          <w:szCs w:val="24"/>
        </w:rPr>
      </w:pPr>
      <w:r w:rsidRPr="00E56B9B">
        <w:rPr>
          <w:sz w:val="24"/>
          <w:szCs w:val="24"/>
        </w:rPr>
        <w:t>Formations ciblées</w:t>
      </w:r>
      <w:r w:rsidR="00BD2704">
        <w:rPr>
          <w:sz w:val="24"/>
          <w:szCs w:val="24"/>
        </w:rPr>
        <w:t xml:space="preserve"> : suite à non-conformités, dysfonctionnement, incident transfusionnel </w:t>
      </w:r>
    </w:p>
    <w:p w:rsidR="00006EFF" w:rsidRPr="00E56B9B" w:rsidRDefault="00BD2704" w:rsidP="00006EFF">
      <w:pPr>
        <w:pStyle w:val="Paragraphedeliste"/>
        <w:numPr>
          <w:ilvl w:val="0"/>
          <w:numId w:val="1"/>
        </w:numPr>
        <w:rPr>
          <w:sz w:val="24"/>
          <w:szCs w:val="24"/>
        </w:rPr>
      </w:pPr>
      <w:r>
        <w:rPr>
          <w:sz w:val="24"/>
          <w:szCs w:val="24"/>
        </w:rPr>
        <w:t>Formations</w:t>
      </w:r>
      <w:r w:rsidR="00006EFF" w:rsidRPr="00E56B9B">
        <w:rPr>
          <w:sz w:val="24"/>
          <w:szCs w:val="24"/>
        </w:rPr>
        <w:t xml:space="preserve"> générales aux IDE</w:t>
      </w:r>
      <w:r>
        <w:rPr>
          <w:sz w:val="24"/>
          <w:szCs w:val="24"/>
        </w:rPr>
        <w:t xml:space="preserve"> selon un plan annuel</w:t>
      </w:r>
    </w:p>
    <w:p w:rsidR="00F960C9" w:rsidRPr="0016457A" w:rsidRDefault="005A36E1" w:rsidP="00006EFF">
      <w:pPr>
        <w:pStyle w:val="Titre1"/>
        <w:rPr>
          <w:rFonts w:asciiTheme="minorHAnsi" w:hAnsiTheme="minorHAnsi"/>
          <w:sz w:val="24"/>
          <w:szCs w:val="24"/>
          <w:u w:val="single"/>
        </w:rPr>
      </w:pPr>
      <w:bookmarkStart w:id="9" w:name="_Toc505089302"/>
      <w:r w:rsidRPr="0016457A">
        <w:rPr>
          <w:rFonts w:asciiTheme="minorHAnsi" w:hAnsiTheme="minorHAnsi"/>
          <w:sz w:val="24"/>
          <w:szCs w:val="24"/>
          <w:u w:val="single"/>
        </w:rPr>
        <w:lastRenderedPageBreak/>
        <w:t xml:space="preserve">6- </w:t>
      </w:r>
      <w:r w:rsidR="00F960C9" w:rsidRPr="0016457A">
        <w:rPr>
          <w:rFonts w:asciiTheme="minorHAnsi" w:hAnsiTheme="minorHAnsi"/>
          <w:sz w:val="24"/>
          <w:szCs w:val="24"/>
          <w:u w:val="single"/>
        </w:rPr>
        <w:t>Surveillance des dépôts</w:t>
      </w:r>
      <w:bookmarkEnd w:id="9"/>
    </w:p>
    <w:p w:rsidR="00006EFF" w:rsidRPr="0016457A" w:rsidRDefault="00006EFF" w:rsidP="00006EFF"/>
    <w:p w:rsidR="00E3293F" w:rsidRPr="0016457A" w:rsidRDefault="00E3293F" w:rsidP="00006EFF">
      <w:pPr>
        <w:rPr>
          <w:sz w:val="24"/>
          <w:szCs w:val="24"/>
        </w:rPr>
      </w:pPr>
      <w:r w:rsidRPr="0016457A">
        <w:rPr>
          <w:sz w:val="24"/>
          <w:szCs w:val="24"/>
        </w:rPr>
        <w:t>Il y a 3 catégories de dépôts : urgence vitale</w:t>
      </w:r>
      <w:r w:rsidR="00555892">
        <w:rPr>
          <w:sz w:val="24"/>
          <w:szCs w:val="24"/>
        </w:rPr>
        <w:t xml:space="preserve"> UV</w:t>
      </w:r>
      <w:r w:rsidRPr="0016457A">
        <w:rPr>
          <w:sz w:val="24"/>
          <w:szCs w:val="24"/>
        </w:rPr>
        <w:t>, relais</w:t>
      </w:r>
      <w:r w:rsidR="00555892">
        <w:rPr>
          <w:sz w:val="24"/>
          <w:szCs w:val="24"/>
        </w:rPr>
        <w:t xml:space="preserve"> R</w:t>
      </w:r>
      <w:r w:rsidRPr="0016457A">
        <w:rPr>
          <w:sz w:val="24"/>
          <w:szCs w:val="24"/>
        </w:rPr>
        <w:t>, mixte UV+R, délivrance)</w:t>
      </w:r>
      <w:r w:rsidR="00A96A07">
        <w:rPr>
          <w:sz w:val="24"/>
          <w:szCs w:val="24"/>
        </w:rPr>
        <w:t>.</w:t>
      </w:r>
      <w:r w:rsidR="00A96A07">
        <w:rPr>
          <w:sz w:val="24"/>
          <w:szCs w:val="24"/>
        </w:rPr>
        <w:br/>
      </w:r>
    </w:p>
    <w:p w:rsidR="00A677C1" w:rsidRPr="0016457A" w:rsidRDefault="00F960C9">
      <w:pPr>
        <w:rPr>
          <w:sz w:val="24"/>
          <w:szCs w:val="24"/>
        </w:rPr>
      </w:pPr>
      <w:r w:rsidRPr="0016457A">
        <w:rPr>
          <w:sz w:val="24"/>
          <w:szCs w:val="24"/>
        </w:rPr>
        <w:t>Si l’établissement est doté d’un</w:t>
      </w:r>
      <w:r w:rsidR="00A677C1" w:rsidRPr="0016457A">
        <w:rPr>
          <w:sz w:val="24"/>
          <w:szCs w:val="24"/>
        </w:rPr>
        <w:t xml:space="preserve"> dépôt </w:t>
      </w:r>
      <w:r w:rsidR="00E3293F" w:rsidRPr="0016457A">
        <w:rPr>
          <w:sz w:val="24"/>
          <w:szCs w:val="24"/>
        </w:rPr>
        <w:t>UV</w:t>
      </w:r>
      <w:r w:rsidR="00A3435D" w:rsidRPr="0016457A">
        <w:rPr>
          <w:sz w:val="24"/>
          <w:szCs w:val="24"/>
        </w:rPr>
        <w:t>, le</w:t>
      </w:r>
      <w:r w:rsidR="00A677C1" w:rsidRPr="0016457A">
        <w:rPr>
          <w:sz w:val="24"/>
          <w:szCs w:val="24"/>
        </w:rPr>
        <w:t xml:space="preserve"> correspondant vérifie l’absence d’utilisation abusive du dépôt.</w:t>
      </w:r>
      <w:r w:rsidR="00A96A07">
        <w:rPr>
          <w:sz w:val="24"/>
          <w:szCs w:val="24"/>
        </w:rPr>
        <w:br/>
      </w:r>
    </w:p>
    <w:p w:rsidR="00A677C1" w:rsidRPr="0016457A" w:rsidRDefault="00A677C1">
      <w:pPr>
        <w:rPr>
          <w:sz w:val="24"/>
          <w:szCs w:val="24"/>
        </w:rPr>
      </w:pPr>
      <w:r w:rsidRPr="0016457A">
        <w:rPr>
          <w:sz w:val="24"/>
          <w:szCs w:val="24"/>
        </w:rPr>
        <w:t>Si l’é</w:t>
      </w:r>
      <w:r w:rsidR="005A36E1" w:rsidRPr="0016457A">
        <w:rPr>
          <w:sz w:val="24"/>
          <w:szCs w:val="24"/>
        </w:rPr>
        <w:t>tablissement</w:t>
      </w:r>
      <w:r w:rsidRPr="0016457A">
        <w:rPr>
          <w:sz w:val="24"/>
          <w:szCs w:val="24"/>
        </w:rPr>
        <w:t xml:space="preserve"> </w:t>
      </w:r>
      <w:r w:rsidR="00006EFF" w:rsidRPr="0016457A">
        <w:rPr>
          <w:sz w:val="24"/>
          <w:szCs w:val="24"/>
        </w:rPr>
        <w:t>est doté</w:t>
      </w:r>
      <w:r w:rsidRPr="0016457A">
        <w:rPr>
          <w:sz w:val="24"/>
          <w:szCs w:val="24"/>
        </w:rPr>
        <w:t xml:space="preserve"> d’un dépôt relai ou de délivranc</w:t>
      </w:r>
      <w:r w:rsidR="00E3293F" w:rsidRPr="0016457A">
        <w:rPr>
          <w:sz w:val="24"/>
          <w:szCs w:val="24"/>
        </w:rPr>
        <w:t>e</w:t>
      </w:r>
      <w:r w:rsidR="00E35D96">
        <w:rPr>
          <w:sz w:val="24"/>
          <w:szCs w:val="24"/>
        </w:rPr>
        <w:t>,</w:t>
      </w:r>
      <w:r w:rsidR="00E3293F" w:rsidRPr="0016457A">
        <w:rPr>
          <w:sz w:val="24"/>
          <w:szCs w:val="24"/>
        </w:rPr>
        <w:t xml:space="preserve"> celui-ci est tenu par un</w:t>
      </w:r>
      <w:r w:rsidRPr="0016457A">
        <w:rPr>
          <w:sz w:val="24"/>
          <w:szCs w:val="24"/>
        </w:rPr>
        <w:t xml:space="preserve"> biologiste, dans ce cas le correspondant s’enquiert des difficultés éventuelles de fonctionnement du dépôt</w:t>
      </w:r>
      <w:r w:rsidR="005A36E1" w:rsidRPr="0016457A">
        <w:rPr>
          <w:sz w:val="24"/>
          <w:szCs w:val="24"/>
        </w:rPr>
        <w:t>.</w:t>
      </w:r>
    </w:p>
    <w:p w:rsidR="00555892" w:rsidRDefault="00555892" w:rsidP="00555892">
      <w:pPr>
        <w:pStyle w:val="Titre1"/>
        <w:rPr>
          <w:rFonts w:asciiTheme="minorHAnsi" w:hAnsiTheme="minorHAnsi"/>
          <w:sz w:val="24"/>
          <w:szCs w:val="24"/>
          <w:u w:val="single"/>
        </w:rPr>
      </w:pPr>
      <w:bookmarkStart w:id="10" w:name="_Toc505089303"/>
      <w:r>
        <w:rPr>
          <w:rFonts w:asciiTheme="minorHAnsi" w:hAnsiTheme="minorHAnsi"/>
          <w:sz w:val="24"/>
          <w:szCs w:val="24"/>
          <w:u w:val="single"/>
        </w:rPr>
        <w:t>7</w:t>
      </w:r>
      <w:r w:rsidRPr="0016457A">
        <w:rPr>
          <w:rFonts w:asciiTheme="minorHAnsi" w:hAnsiTheme="minorHAnsi"/>
          <w:sz w:val="24"/>
          <w:szCs w:val="24"/>
          <w:u w:val="single"/>
        </w:rPr>
        <w:t xml:space="preserve">- </w:t>
      </w:r>
      <w:r>
        <w:rPr>
          <w:rFonts w:asciiTheme="minorHAnsi" w:hAnsiTheme="minorHAnsi"/>
          <w:sz w:val="24"/>
          <w:szCs w:val="24"/>
          <w:u w:val="single"/>
        </w:rPr>
        <w:t>Abréviations</w:t>
      </w:r>
      <w:bookmarkEnd w:id="10"/>
    </w:p>
    <w:p w:rsidR="00BD5DC5" w:rsidRDefault="00BD5DC5">
      <w:pPr>
        <w:rPr>
          <w:rFonts w:ascii="Garamond" w:hAnsi="Garamond"/>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4"/>
        <w:gridCol w:w="6804"/>
      </w:tblGrid>
      <w:tr w:rsidR="00AE0973" w:rsidRPr="00AE0973" w:rsidTr="0070690F">
        <w:tc>
          <w:tcPr>
            <w:tcW w:w="1418" w:type="dxa"/>
          </w:tcPr>
          <w:p w:rsidR="00AE0973" w:rsidRPr="00AE0973" w:rsidRDefault="00AE0973" w:rsidP="00AE0973">
            <w:pPr>
              <w:jc w:val="right"/>
            </w:pPr>
            <w:r w:rsidRPr="00AE0973">
              <w:t>ANSM</w:t>
            </w:r>
          </w:p>
        </w:tc>
        <w:tc>
          <w:tcPr>
            <w:tcW w:w="454" w:type="dxa"/>
          </w:tcPr>
          <w:p w:rsidR="00AE0973" w:rsidRPr="00AE0973" w:rsidRDefault="00AE0973"/>
        </w:tc>
        <w:tc>
          <w:tcPr>
            <w:tcW w:w="6804" w:type="dxa"/>
          </w:tcPr>
          <w:p w:rsidR="00AE0973" w:rsidRPr="00AE0973" w:rsidRDefault="00AE0973">
            <w:r w:rsidRPr="00AE0973">
              <w:t xml:space="preserve">Agence nationale de sécurité du médicament et des produits de santé    </w:t>
            </w:r>
          </w:p>
        </w:tc>
      </w:tr>
      <w:tr w:rsidR="00F10AD0" w:rsidRPr="00AE0973" w:rsidTr="0070690F">
        <w:tc>
          <w:tcPr>
            <w:tcW w:w="1418" w:type="dxa"/>
          </w:tcPr>
          <w:p w:rsidR="00F10AD0" w:rsidRPr="00AE0973" w:rsidRDefault="00F10AD0" w:rsidP="00AE0973">
            <w:pPr>
              <w:jc w:val="right"/>
            </w:pPr>
            <w:r>
              <w:t xml:space="preserve">ARS </w:t>
            </w:r>
          </w:p>
        </w:tc>
        <w:tc>
          <w:tcPr>
            <w:tcW w:w="454" w:type="dxa"/>
          </w:tcPr>
          <w:p w:rsidR="00F10AD0" w:rsidRPr="00AE0973" w:rsidRDefault="00F10AD0"/>
        </w:tc>
        <w:tc>
          <w:tcPr>
            <w:tcW w:w="6804" w:type="dxa"/>
          </w:tcPr>
          <w:p w:rsidR="00F10AD0" w:rsidRPr="00AE0973" w:rsidRDefault="00F10AD0">
            <w:r>
              <w:t>Agence régionale de santé</w:t>
            </w:r>
          </w:p>
        </w:tc>
      </w:tr>
      <w:tr w:rsidR="00AE0973" w:rsidRPr="00AE0973" w:rsidTr="0070690F">
        <w:tc>
          <w:tcPr>
            <w:tcW w:w="1418" w:type="dxa"/>
          </w:tcPr>
          <w:p w:rsidR="00AE0973" w:rsidRPr="00AE0973" w:rsidRDefault="00AE0973" w:rsidP="00AE0973">
            <w:pPr>
              <w:jc w:val="right"/>
            </w:pPr>
            <w:r>
              <w:t>CHV</w:t>
            </w:r>
          </w:p>
        </w:tc>
        <w:tc>
          <w:tcPr>
            <w:tcW w:w="454" w:type="dxa"/>
          </w:tcPr>
          <w:p w:rsidR="00AE0973" w:rsidRPr="00AE0973" w:rsidRDefault="00AE0973"/>
        </w:tc>
        <w:tc>
          <w:tcPr>
            <w:tcW w:w="6804" w:type="dxa"/>
          </w:tcPr>
          <w:p w:rsidR="00AE0973" w:rsidRPr="00AE0973" w:rsidRDefault="00AE0973">
            <w:r>
              <w:t>Correspondant d’hémovigilance</w:t>
            </w:r>
          </w:p>
        </w:tc>
      </w:tr>
      <w:tr w:rsidR="009673C7" w:rsidRPr="00AE0973" w:rsidTr="0070690F">
        <w:tc>
          <w:tcPr>
            <w:tcW w:w="1418" w:type="dxa"/>
          </w:tcPr>
          <w:p w:rsidR="009673C7" w:rsidRDefault="009673C7" w:rsidP="00AE0973">
            <w:pPr>
              <w:jc w:val="right"/>
            </w:pPr>
            <w:r>
              <w:t>CME</w:t>
            </w:r>
          </w:p>
        </w:tc>
        <w:tc>
          <w:tcPr>
            <w:tcW w:w="454" w:type="dxa"/>
          </w:tcPr>
          <w:p w:rsidR="009673C7" w:rsidRPr="00AE0973" w:rsidRDefault="009673C7"/>
        </w:tc>
        <w:tc>
          <w:tcPr>
            <w:tcW w:w="6804" w:type="dxa"/>
          </w:tcPr>
          <w:p w:rsidR="009673C7" w:rsidRDefault="009673C7">
            <w:r>
              <w:t>Commission médicale d’établissement</w:t>
            </w:r>
          </w:p>
        </w:tc>
      </w:tr>
      <w:tr w:rsidR="003B57B9" w:rsidRPr="00AE0973" w:rsidTr="0070690F">
        <w:tc>
          <w:tcPr>
            <w:tcW w:w="1418" w:type="dxa"/>
          </w:tcPr>
          <w:p w:rsidR="003B57B9" w:rsidRDefault="003B57B9" w:rsidP="00AE0973">
            <w:pPr>
              <w:jc w:val="right"/>
            </w:pPr>
            <w:r>
              <w:t>CRHST</w:t>
            </w:r>
          </w:p>
        </w:tc>
        <w:tc>
          <w:tcPr>
            <w:tcW w:w="454" w:type="dxa"/>
          </w:tcPr>
          <w:p w:rsidR="003B57B9" w:rsidRPr="00AE0973" w:rsidRDefault="003B57B9"/>
        </w:tc>
        <w:tc>
          <w:tcPr>
            <w:tcW w:w="6804" w:type="dxa"/>
          </w:tcPr>
          <w:p w:rsidR="003B57B9" w:rsidRDefault="003B57B9">
            <w:r>
              <w:t>Coordonnateur régional d’hémovigilance et sécurité transfusionnelle</w:t>
            </w:r>
          </w:p>
        </w:tc>
      </w:tr>
      <w:tr w:rsidR="003B57B9" w:rsidRPr="00AE0973" w:rsidTr="0070690F">
        <w:tc>
          <w:tcPr>
            <w:tcW w:w="1418" w:type="dxa"/>
          </w:tcPr>
          <w:p w:rsidR="003B57B9" w:rsidRDefault="003B57B9" w:rsidP="00AE0973">
            <w:pPr>
              <w:jc w:val="right"/>
            </w:pPr>
            <w:r>
              <w:t>CSTH</w:t>
            </w:r>
          </w:p>
        </w:tc>
        <w:tc>
          <w:tcPr>
            <w:tcW w:w="454" w:type="dxa"/>
          </w:tcPr>
          <w:p w:rsidR="003B57B9" w:rsidRPr="00AE0973" w:rsidRDefault="003B57B9"/>
        </w:tc>
        <w:tc>
          <w:tcPr>
            <w:tcW w:w="6804" w:type="dxa"/>
          </w:tcPr>
          <w:p w:rsidR="003B57B9" w:rsidRDefault="003B57B9">
            <w:r>
              <w:t>Comité</w:t>
            </w:r>
          </w:p>
        </w:tc>
      </w:tr>
      <w:tr w:rsidR="00AE0973" w:rsidRPr="00AE0973" w:rsidTr="0070690F">
        <w:tc>
          <w:tcPr>
            <w:tcW w:w="1418" w:type="dxa"/>
          </w:tcPr>
          <w:p w:rsidR="00AE0973" w:rsidRPr="00AE0973" w:rsidRDefault="00AE0973" w:rsidP="00AE0973">
            <w:pPr>
              <w:jc w:val="right"/>
            </w:pPr>
            <w:r w:rsidRPr="00AE0973">
              <w:t>EFS</w:t>
            </w:r>
          </w:p>
        </w:tc>
        <w:tc>
          <w:tcPr>
            <w:tcW w:w="454" w:type="dxa"/>
          </w:tcPr>
          <w:p w:rsidR="00AE0973" w:rsidRPr="00AE0973" w:rsidRDefault="00AE0973"/>
        </w:tc>
        <w:tc>
          <w:tcPr>
            <w:tcW w:w="6804" w:type="dxa"/>
          </w:tcPr>
          <w:p w:rsidR="00AE0973" w:rsidRPr="00AE0973" w:rsidRDefault="00AE0973">
            <w:r w:rsidRPr="00AE0973">
              <w:t>Etablissement français du sang</w:t>
            </w:r>
          </w:p>
        </w:tc>
      </w:tr>
      <w:tr w:rsidR="009673C7" w:rsidRPr="00AE0973" w:rsidTr="0070690F">
        <w:tc>
          <w:tcPr>
            <w:tcW w:w="1418" w:type="dxa"/>
          </w:tcPr>
          <w:p w:rsidR="009673C7" w:rsidRPr="00AE0973" w:rsidRDefault="009673C7" w:rsidP="00AE0973">
            <w:pPr>
              <w:jc w:val="right"/>
            </w:pPr>
            <w:r>
              <w:t>EIR</w:t>
            </w:r>
          </w:p>
        </w:tc>
        <w:tc>
          <w:tcPr>
            <w:tcW w:w="454" w:type="dxa"/>
          </w:tcPr>
          <w:p w:rsidR="009673C7" w:rsidRPr="00AE0973" w:rsidRDefault="009673C7"/>
        </w:tc>
        <w:tc>
          <w:tcPr>
            <w:tcW w:w="6804" w:type="dxa"/>
          </w:tcPr>
          <w:p w:rsidR="009673C7" w:rsidRPr="00AE0973" w:rsidRDefault="009673C7">
            <w:r>
              <w:t>Evènement indésirable receveur</w:t>
            </w:r>
          </w:p>
        </w:tc>
      </w:tr>
      <w:tr w:rsidR="00B332A9" w:rsidRPr="00AE0973" w:rsidTr="0070690F">
        <w:tc>
          <w:tcPr>
            <w:tcW w:w="1418" w:type="dxa"/>
          </w:tcPr>
          <w:p w:rsidR="00B332A9" w:rsidRDefault="00B332A9" w:rsidP="00AE0973">
            <w:pPr>
              <w:jc w:val="right"/>
            </w:pPr>
            <w:r>
              <w:t>ES</w:t>
            </w:r>
          </w:p>
        </w:tc>
        <w:tc>
          <w:tcPr>
            <w:tcW w:w="454" w:type="dxa"/>
          </w:tcPr>
          <w:p w:rsidR="00B332A9" w:rsidRPr="00AE0973" w:rsidRDefault="00B332A9"/>
        </w:tc>
        <w:tc>
          <w:tcPr>
            <w:tcW w:w="6804" w:type="dxa"/>
          </w:tcPr>
          <w:p w:rsidR="00B332A9" w:rsidRDefault="00B332A9">
            <w:r>
              <w:t>Etablissement de santé</w:t>
            </w:r>
          </w:p>
        </w:tc>
      </w:tr>
      <w:tr w:rsidR="00AE0973" w:rsidRPr="00AE0973" w:rsidTr="0070690F">
        <w:tc>
          <w:tcPr>
            <w:tcW w:w="1418" w:type="dxa"/>
          </w:tcPr>
          <w:p w:rsidR="00AE0973" w:rsidRPr="00AE0973" w:rsidRDefault="00AE0973" w:rsidP="00AE0973">
            <w:pPr>
              <w:jc w:val="right"/>
            </w:pPr>
            <w:r w:rsidRPr="00AE0973">
              <w:t>ETS</w:t>
            </w:r>
          </w:p>
        </w:tc>
        <w:tc>
          <w:tcPr>
            <w:tcW w:w="454" w:type="dxa"/>
          </w:tcPr>
          <w:p w:rsidR="00AE0973" w:rsidRPr="00AE0973" w:rsidRDefault="00AE0973"/>
        </w:tc>
        <w:tc>
          <w:tcPr>
            <w:tcW w:w="6804" w:type="dxa"/>
          </w:tcPr>
          <w:p w:rsidR="00AE0973" w:rsidRPr="00AE0973" w:rsidRDefault="00AE0973">
            <w:r>
              <w:t>Etablissement de transfusion sanguine</w:t>
            </w:r>
          </w:p>
        </w:tc>
      </w:tr>
      <w:tr w:rsidR="00AE0973" w:rsidRPr="00AE0973" w:rsidTr="0070690F">
        <w:tc>
          <w:tcPr>
            <w:tcW w:w="1418" w:type="dxa"/>
          </w:tcPr>
          <w:p w:rsidR="00AE0973" w:rsidRPr="00AE0973" w:rsidRDefault="009C550B" w:rsidP="00AE0973">
            <w:pPr>
              <w:jc w:val="right"/>
            </w:pPr>
            <w:r>
              <w:t>FEIR</w:t>
            </w:r>
          </w:p>
        </w:tc>
        <w:tc>
          <w:tcPr>
            <w:tcW w:w="454" w:type="dxa"/>
          </w:tcPr>
          <w:p w:rsidR="00AE0973" w:rsidRPr="00AE0973" w:rsidRDefault="00AE0973"/>
        </w:tc>
        <w:tc>
          <w:tcPr>
            <w:tcW w:w="6804" w:type="dxa"/>
          </w:tcPr>
          <w:p w:rsidR="00AE0973" w:rsidRPr="00AE0973" w:rsidRDefault="009C550B">
            <w:r>
              <w:t>Fiche d’évènement indésirable receveur</w:t>
            </w:r>
          </w:p>
        </w:tc>
      </w:tr>
      <w:tr w:rsidR="00A14AEF" w:rsidRPr="00AE0973" w:rsidTr="0070690F">
        <w:tc>
          <w:tcPr>
            <w:tcW w:w="1418" w:type="dxa"/>
          </w:tcPr>
          <w:p w:rsidR="00A14AEF" w:rsidRDefault="00A14AEF" w:rsidP="00AE0973">
            <w:pPr>
              <w:jc w:val="right"/>
            </w:pPr>
            <w:r>
              <w:t>IG</w:t>
            </w:r>
          </w:p>
        </w:tc>
        <w:tc>
          <w:tcPr>
            <w:tcW w:w="454" w:type="dxa"/>
          </w:tcPr>
          <w:p w:rsidR="00A14AEF" w:rsidRPr="00AE0973" w:rsidRDefault="00A14AEF"/>
        </w:tc>
        <w:tc>
          <w:tcPr>
            <w:tcW w:w="6804" w:type="dxa"/>
          </w:tcPr>
          <w:p w:rsidR="00A14AEF" w:rsidRDefault="00A14AEF">
            <w:r>
              <w:t>Incident grave de la chaine transfusionnelle</w:t>
            </w:r>
          </w:p>
        </w:tc>
      </w:tr>
      <w:tr w:rsidR="00AE0973" w:rsidRPr="00AE0973" w:rsidTr="0070690F">
        <w:tc>
          <w:tcPr>
            <w:tcW w:w="1418" w:type="dxa"/>
          </w:tcPr>
          <w:p w:rsidR="00AE0973" w:rsidRPr="00AE0973" w:rsidRDefault="009C550B" w:rsidP="00AE0973">
            <w:pPr>
              <w:jc w:val="right"/>
            </w:pPr>
            <w:r>
              <w:t xml:space="preserve">PSL </w:t>
            </w:r>
          </w:p>
        </w:tc>
        <w:tc>
          <w:tcPr>
            <w:tcW w:w="454" w:type="dxa"/>
          </w:tcPr>
          <w:p w:rsidR="00AE0973" w:rsidRPr="00AE0973" w:rsidRDefault="00AE0973"/>
        </w:tc>
        <w:tc>
          <w:tcPr>
            <w:tcW w:w="6804" w:type="dxa"/>
          </w:tcPr>
          <w:p w:rsidR="00AE0973" w:rsidRPr="00AE0973" w:rsidRDefault="009C550B">
            <w:r>
              <w:t>Produit sanguin labile</w:t>
            </w:r>
          </w:p>
        </w:tc>
      </w:tr>
    </w:tbl>
    <w:tbl>
      <w:tblPr>
        <w:tblW w:w="5000" w:type="pct"/>
        <w:jc w:val="center"/>
        <w:tblCellMar>
          <w:left w:w="0" w:type="dxa"/>
          <w:right w:w="0" w:type="dxa"/>
        </w:tblCellMar>
        <w:tblLook w:val="04A0" w:firstRow="1" w:lastRow="0" w:firstColumn="1" w:lastColumn="0" w:noHBand="0" w:noVBand="1"/>
      </w:tblPr>
      <w:tblGrid>
        <w:gridCol w:w="9286"/>
      </w:tblGrid>
      <w:tr w:rsidR="00BD5DC5" w:rsidRPr="00BD5DC5" w:rsidTr="00555892">
        <w:trPr>
          <w:jc w:val="center"/>
        </w:trPr>
        <w:tc>
          <w:tcPr>
            <w:tcW w:w="9286" w:type="dxa"/>
            <w:tcMar>
              <w:top w:w="0" w:type="dxa"/>
              <w:left w:w="108" w:type="dxa"/>
              <w:bottom w:w="0" w:type="dxa"/>
              <w:right w:w="108" w:type="dxa"/>
            </w:tcMar>
          </w:tcPr>
          <w:p w:rsidR="00B332A9" w:rsidRDefault="00B332A9" w:rsidP="00C92F1E">
            <w:pPr>
              <w:spacing w:line="200" w:lineRule="exact"/>
              <w:rPr>
                <w:b/>
                <w:color w:val="0F243E" w:themeColor="text2" w:themeShade="80"/>
                <w:sz w:val="20"/>
                <w:szCs w:val="20"/>
              </w:rPr>
            </w:pPr>
          </w:p>
          <w:p w:rsidR="00B332A9" w:rsidRDefault="00B332A9" w:rsidP="00C92F1E">
            <w:pPr>
              <w:spacing w:line="200" w:lineRule="exact"/>
              <w:rPr>
                <w:b/>
                <w:color w:val="0F243E" w:themeColor="text2" w:themeShade="80"/>
                <w:sz w:val="20"/>
                <w:szCs w:val="20"/>
              </w:rPr>
            </w:pPr>
          </w:p>
          <w:p w:rsidR="00B332A9" w:rsidRDefault="00B332A9" w:rsidP="00C92F1E">
            <w:pPr>
              <w:spacing w:line="200" w:lineRule="exact"/>
              <w:rPr>
                <w:b/>
                <w:color w:val="0F243E" w:themeColor="text2" w:themeShade="80"/>
                <w:sz w:val="20"/>
                <w:szCs w:val="20"/>
              </w:rPr>
            </w:pPr>
          </w:p>
          <w:p w:rsidR="00B332A9" w:rsidRDefault="00B332A9" w:rsidP="00C92F1E">
            <w:pPr>
              <w:spacing w:line="200" w:lineRule="exact"/>
              <w:rPr>
                <w:b/>
                <w:color w:val="0F243E" w:themeColor="text2" w:themeShade="80"/>
                <w:sz w:val="20"/>
                <w:szCs w:val="20"/>
              </w:rPr>
            </w:pPr>
          </w:p>
          <w:p w:rsidR="00B332A9" w:rsidRDefault="00B332A9" w:rsidP="00C92F1E">
            <w:pPr>
              <w:spacing w:line="200" w:lineRule="exact"/>
              <w:rPr>
                <w:b/>
                <w:color w:val="0F243E" w:themeColor="text2" w:themeShade="80"/>
                <w:sz w:val="20"/>
                <w:szCs w:val="20"/>
              </w:rPr>
            </w:pPr>
          </w:p>
          <w:p w:rsidR="00C92F1E" w:rsidRPr="0007622E" w:rsidRDefault="00C92F1E" w:rsidP="00C92F1E">
            <w:pPr>
              <w:spacing w:line="200" w:lineRule="exact"/>
              <w:rPr>
                <w:b/>
                <w:color w:val="0F243E" w:themeColor="text2" w:themeShade="80"/>
                <w:sz w:val="20"/>
                <w:szCs w:val="20"/>
              </w:rPr>
            </w:pPr>
            <w:r w:rsidRPr="0007622E">
              <w:rPr>
                <w:b/>
                <w:color w:val="0F243E" w:themeColor="text2" w:themeShade="80"/>
                <w:sz w:val="20"/>
                <w:szCs w:val="20"/>
              </w:rPr>
              <w:t>Département veille sécurité sanitaire et situations sanitaires exceptionnelles</w:t>
            </w:r>
          </w:p>
          <w:p w:rsidR="00C92F1E" w:rsidRPr="00C92F1E" w:rsidRDefault="00C92F1E" w:rsidP="00C92F1E">
            <w:pPr>
              <w:spacing w:line="200" w:lineRule="exact"/>
              <w:rPr>
                <w:rFonts w:cs="Arial"/>
                <w:color w:val="0F243E" w:themeColor="text2" w:themeShade="80"/>
                <w:sz w:val="20"/>
                <w:szCs w:val="20"/>
              </w:rPr>
            </w:pPr>
          </w:p>
          <w:p w:rsidR="00C92F1E" w:rsidRPr="0007622E" w:rsidRDefault="00C92F1E" w:rsidP="00C92F1E">
            <w:pPr>
              <w:spacing w:line="200" w:lineRule="exact"/>
              <w:rPr>
                <w:rFonts w:cs="Arial"/>
                <w:b/>
                <w:color w:val="0F243E" w:themeColor="text2" w:themeShade="80"/>
                <w:sz w:val="20"/>
                <w:szCs w:val="20"/>
              </w:rPr>
            </w:pPr>
            <w:r w:rsidRPr="0007622E">
              <w:rPr>
                <w:rFonts w:cs="Arial"/>
                <w:b/>
                <w:color w:val="0F243E" w:themeColor="text2" w:themeShade="80"/>
                <w:sz w:val="20"/>
                <w:szCs w:val="20"/>
              </w:rPr>
              <w:t>Mission coordination et  animation du réseau régional des structures de vigilances et d’appui</w:t>
            </w:r>
          </w:p>
          <w:p w:rsidR="00C92F1E" w:rsidRDefault="00C92F1E" w:rsidP="00C92F1E">
            <w:pPr>
              <w:spacing w:line="200" w:lineRule="exact"/>
              <w:rPr>
                <w:rFonts w:cs="Arial"/>
                <w:color w:val="808080"/>
                <w:sz w:val="20"/>
                <w:szCs w:val="20"/>
              </w:rPr>
            </w:pPr>
            <w:r w:rsidRPr="00C92F1E">
              <w:rPr>
                <w:rFonts w:cs="Arial"/>
                <w:color w:val="0F243E" w:themeColor="text2" w:themeShade="80"/>
                <w:sz w:val="20"/>
                <w:szCs w:val="20"/>
              </w:rPr>
              <w:t>Responsable : Dr Christine d’Arnoux</w:t>
            </w:r>
          </w:p>
          <w:p w:rsidR="00C92F1E" w:rsidRPr="00BD5DC5" w:rsidRDefault="00C92F1E" w:rsidP="00C92F1E">
            <w:pPr>
              <w:spacing w:line="200" w:lineRule="exact"/>
              <w:rPr>
                <w:rFonts w:cs="Arial"/>
                <w:color w:val="808080"/>
                <w:sz w:val="20"/>
                <w:szCs w:val="20"/>
              </w:rPr>
            </w:pPr>
          </w:p>
          <w:p w:rsidR="00C92F1E" w:rsidRPr="00C92F1E" w:rsidRDefault="00C92F1E" w:rsidP="00C92F1E">
            <w:pPr>
              <w:spacing w:line="200" w:lineRule="exact"/>
              <w:rPr>
                <w:rFonts w:cs="Arial"/>
                <w:b/>
                <w:color w:val="0F243E" w:themeColor="text2" w:themeShade="80"/>
                <w:sz w:val="20"/>
                <w:szCs w:val="20"/>
              </w:rPr>
            </w:pPr>
            <w:r w:rsidRPr="00C92F1E">
              <w:rPr>
                <w:rFonts w:cs="Arial"/>
                <w:b/>
                <w:color w:val="0F243E" w:themeColor="text2" w:themeShade="80"/>
                <w:sz w:val="20"/>
                <w:szCs w:val="20"/>
              </w:rPr>
              <w:t>Coordination régionale d’hémovigilance</w:t>
            </w:r>
          </w:p>
          <w:p w:rsidR="00C92F1E" w:rsidRDefault="00C92F1E" w:rsidP="00C92F1E">
            <w:pPr>
              <w:spacing w:line="276" w:lineRule="auto"/>
              <w:rPr>
                <w:rFonts w:cs="Arial"/>
                <w:b/>
                <w:bCs/>
                <w:color w:val="223D78"/>
                <w:sz w:val="20"/>
                <w:szCs w:val="20"/>
              </w:rPr>
            </w:pPr>
          </w:p>
          <w:p w:rsidR="00BD5DC5" w:rsidRPr="00C92F1E" w:rsidRDefault="00BD5DC5" w:rsidP="00C92F1E">
            <w:pPr>
              <w:spacing w:line="276" w:lineRule="auto"/>
              <w:rPr>
                <w:rFonts w:cs="Arial"/>
                <w:color w:val="99CC00"/>
                <w:sz w:val="20"/>
                <w:szCs w:val="20"/>
              </w:rPr>
            </w:pPr>
            <w:r w:rsidRPr="00BD5DC5">
              <w:rPr>
                <w:rFonts w:cs="Arial"/>
                <w:b/>
                <w:bCs/>
                <w:color w:val="223D78"/>
                <w:sz w:val="20"/>
                <w:szCs w:val="20"/>
              </w:rPr>
              <w:t xml:space="preserve">Dr Jean GINOT </w:t>
            </w:r>
            <w:r w:rsidR="00C92F1E">
              <w:rPr>
                <w:rFonts w:cs="Arial"/>
                <w:b/>
                <w:bCs/>
                <w:color w:val="223D78"/>
                <w:sz w:val="20"/>
                <w:szCs w:val="20"/>
              </w:rPr>
              <w:br/>
            </w:r>
            <w:r w:rsidRPr="00BD5DC5">
              <w:rPr>
                <w:rFonts w:cs="Arial"/>
                <w:color w:val="99CC00"/>
                <w:sz w:val="20"/>
                <w:szCs w:val="20"/>
              </w:rPr>
              <w:t>|</w:t>
            </w:r>
            <w:r w:rsidRPr="00BD5DC5">
              <w:rPr>
                <w:rFonts w:cs="Arial"/>
                <w:color w:val="808080"/>
                <w:sz w:val="20"/>
                <w:szCs w:val="20"/>
              </w:rPr>
              <w:t xml:space="preserve"> </w:t>
            </w:r>
            <w:r w:rsidRPr="00BD5DC5">
              <w:rPr>
                <w:rFonts w:cs="Arial"/>
                <w:color w:val="4F6228" w:themeColor="accent3" w:themeShade="80"/>
                <w:sz w:val="20"/>
                <w:szCs w:val="20"/>
              </w:rPr>
              <w:t>Coordonnateur régional de l’hémovigilance et de la sécurité transfusionnelle</w:t>
            </w:r>
            <w:r w:rsidR="00F35857">
              <w:rPr>
                <w:rFonts w:cs="Arial"/>
                <w:color w:val="99CC00"/>
                <w:sz w:val="20"/>
                <w:szCs w:val="20"/>
              </w:rPr>
              <w:t xml:space="preserve"> </w:t>
            </w:r>
            <w:r w:rsidR="00F35857" w:rsidRPr="00F35857">
              <w:rPr>
                <w:rFonts w:cs="Arial"/>
                <w:color w:val="4F6228" w:themeColor="accent3" w:themeShade="80"/>
                <w:sz w:val="20"/>
                <w:szCs w:val="20"/>
              </w:rPr>
              <w:t>PACA OUEST</w:t>
            </w:r>
            <w:r w:rsidR="005C210B">
              <w:rPr>
                <w:rFonts w:cs="Arial"/>
                <w:color w:val="4F6228" w:themeColor="accent3" w:themeShade="80"/>
                <w:sz w:val="20"/>
                <w:szCs w:val="20"/>
              </w:rPr>
              <w:br/>
            </w:r>
            <w:r w:rsidR="005C210B" w:rsidRPr="00BD5DC5">
              <w:rPr>
                <w:rFonts w:cs="Arial"/>
                <w:color w:val="808080"/>
                <w:sz w:val="20"/>
                <w:szCs w:val="20"/>
              </w:rPr>
              <w:t xml:space="preserve">Tel. direct : </w:t>
            </w:r>
            <w:r w:rsidR="005C210B" w:rsidRPr="00BD5DC5">
              <w:rPr>
                <w:rFonts w:cs="Arial"/>
                <w:b/>
                <w:bCs/>
                <w:color w:val="808080"/>
                <w:sz w:val="20"/>
                <w:szCs w:val="20"/>
              </w:rPr>
              <w:t>04.13.55.80.59</w:t>
            </w:r>
            <w:r w:rsidRPr="00BD5DC5">
              <w:rPr>
                <w:rFonts w:cs="Arial"/>
                <w:color w:val="99CC00"/>
                <w:sz w:val="20"/>
                <w:szCs w:val="20"/>
              </w:rPr>
              <w:br/>
            </w:r>
            <w:r w:rsidRPr="00BD5DC5">
              <w:rPr>
                <w:rFonts w:cs="Arial"/>
                <w:b/>
                <w:bCs/>
                <w:color w:val="223D78"/>
                <w:sz w:val="20"/>
                <w:szCs w:val="20"/>
              </w:rPr>
              <w:t>Jean-Michel Busseron</w:t>
            </w:r>
            <w:r w:rsidRPr="00BD5DC5">
              <w:rPr>
                <w:rFonts w:cs="Arial"/>
                <w:color w:val="808080"/>
                <w:sz w:val="20"/>
                <w:szCs w:val="20"/>
              </w:rPr>
              <w:t> </w:t>
            </w:r>
            <w:r w:rsidR="00C92F1E">
              <w:rPr>
                <w:rFonts w:cs="Arial"/>
                <w:color w:val="808080"/>
                <w:sz w:val="20"/>
                <w:szCs w:val="20"/>
              </w:rPr>
              <w:br/>
            </w:r>
            <w:r w:rsidRPr="00BD5DC5">
              <w:rPr>
                <w:rFonts w:cs="Arial"/>
                <w:color w:val="99CC00"/>
                <w:sz w:val="20"/>
                <w:szCs w:val="20"/>
              </w:rPr>
              <w:t>|</w:t>
            </w:r>
            <w:r w:rsidRPr="00BD5DC5">
              <w:rPr>
                <w:rFonts w:cs="Arial"/>
                <w:color w:val="808080"/>
                <w:sz w:val="20"/>
                <w:szCs w:val="20"/>
              </w:rPr>
              <w:t xml:space="preserve"> </w:t>
            </w:r>
            <w:r w:rsidRPr="00BD5DC5">
              <w:rPr>
                <w:rFonts w:cs="Arial"/>
                <w:color w:val="4F6228" w:themeColor="accent3" w:themeShade="80"/>
                <w:sz w:val="20"/>
                <w:szCs w:val="20"/>
              </w:rPr>
              <w:t>Assistant</w:t>
            </w:r>
            <w:r w:rsidR="005C210B">
              <w:rPr>
                <w:rFonts w:cs="Arial"/>
                <w:color w:val="4F6228" w:themeColor="accent3" w:themeShade="80"/>
                <w:sz w:val="20"/>
                <w:szCs w:val="20"/>
              </w:rPr>
              <w:br/>
            </w:r>
            <w:r w:rsidR="005C210B" w:rsidRPr="00BD5DC5">
              <w:rPr>
                <w:rFonts w:cs="Arial"/>
                <w:color w:val="808080"/>
                <w:sz w:val="20"/>
                <w:szCs w:val="20"/>
              </w:rPr>
              <w:t xml:space="preserve">Tel. direct : </w:t>
            </w:r>
            <w:r w:rsidR="005C210B">
              <w:rPr>
                <w:rFonts w:cs="Arial"/>
                <w:b/>
                <w:bCs/>
                <w:color w:val="808080"/>
                <w:sz w:val="20"/>
                <w:szCs w:val="20"/>
              </w:rPr>
              <w:t>04.13.55.80.58</w:t>
            </w:r>
            <w:r w:rsidRPr="00BD5DC5">
              <w:rPr>
                <w:rFonts w:cs="Arial"/>
                <w:color w:val="99CC00"/>
                <w:sz w:val="20"/>
                <w:szCs w:val="20"/>
              </w:rPr>
              <w:br/>
            </w:r>
            <w:r w:rsidRPr="00BD5DC5">
              <w:rPr>
                <w:rFonts w:cs="Arial"/>
                <w:color w:val="808080"/>
                <w:sz w:val="20"/>
                <w:szCs w:val="20"/>
              </w:rPr>
              <w:t xml:space="preserve">Fax : </w:t>
            </w:r>
            <w:r w:rsidR="00C92F1E">
              <w:rPr>
                <w:rFonts w:cs="Arial"/>
                <w:b/>
                <w:bCs/>
                <w:color w:val="808080"/>
                <w:sz w:val="20"/>
                <w:szCs w:val="20"/>
              </w:rPr>
              <w:t>04.13.55.87.82</w:t>
            </w:r>
          </w:p>
          <w:tbl>
            <w:tblPr>
              <w:tblW w:w="0" w:type="auto"/>
              <w:tblCellSpacing w:w="15" w:type="dxa"/>
              <w:tblCellMar>
                <w:left w:w="0" w:type="dxa"/>
                <w:right w:w="0" w:type="dxa"/>
              </w:tblCellMar>
              <w:tblLook w:val="04A0" w:firstRow="1" w:lastRow="0" w:firstColumn="1" w:lastColumn="0" w:noHBand="0" w:noVBand="1"/>
            </w:tblPr>
            <w:tblGrid>
              <w:gridCol w:w="111"/>
              <w:gridCol w:w="96"/>
              <w:gridCol w:w="96"/>
              <w:gridCol w:w="111"/>
            </w:tblGrid>
            <w:tr w:rsidR="00BD5DC5" w:rsidRPr="00BD5DC5">
              <w:trPr>
                <w:tblCellSpacing w:w="15" w:type="dxa"/>
              </w:trPr>
              <w:tc>
                <w:tcPr>
                  <w:tcW w:w="0" w:type="auto"/>
                  <w:tcMar>
                    <w:top w:w="0" w:type="dxa"/>
                    <w:left w:w="0" w:type="dxa"/>
                    <w:bottom w:w="0" w:type="dxa"/>
                    <w:right w:w="60" w:type="dxa"/>
                  </w:tcMar>
                  <w:vAlign w:val="center"/>
                  <w:hideMark/>
                </w:tcPr>
                <w:p w:rsidR="00BD5DC5" w:rsidRPr="00BD5DC5" w:rsidRDefault="00BD5DC5">
                  <w:pPr>
                    <w:rPr>
                      <w:sz w:val="20"/>
                      <w:szCs w:val="20"/>
                      <w:lang w:eastAsia="fr-FR"/>
                    </w:rPr>
                  </w:pPr>
                </w:p>
              </w:tc>
              <w:tc>
                <w:tcPr>
                  <w:tcW w:w="0" w:type="auto"/>
                  <w:tcMar>
                    <w:top w:w="0" w:type="dxa"/>
                    <w:left w:w="0" w:type="dxa"/>
                    <w:bottom w:w="0" w:type="dxa"/>
                    <w:right w:w="60" w:type="dxa"/>
                  </w:tcMar>
                  <w:vAlign w:val="center"/>
                  <w:hideMark/>
                </w:tcPr>
                <w:p w:rsidR="00BD5DC5" w:rsidRPr="00BD5DC5" w:rsidRDefault="00BD5DC5">
                  <w:pPr>
                    <w:rPr>
                      <w:sz w:val="20"/>
                      <w:szCs w:val="20"/>
                      <w:lang w:eastAsia="fr-FR"/>
                    </w:rPr>
                  </w:pPr>
                </w:p>
              </w:tc>
              <w:tc>
                <w:tcPr>
                  <w:tcW w:w="0" w:type="auto"/>
                  <w:tcMar>
                    <w:top w:w="0" w:type="dxa"/>
                    <w:left w:w="0" w:type="dxa"/>
                    <w:bottom w:w="0" w:type="dxa"/>
                    <w:right w:w="60" w:type="dxa"/>
                  </w:tcMar>
                  <w:vAlign w:val="center"/>
                  <w:hideMark/>
                </w:tcPr>
                <w:p w:rsidR="00BD5DC5" w:rsidRPr="00BD5DC5" w:rsidRDefault="00BD5DC5">
                  <w:pPr>
                    <w:rPr>
                      <w:sz w:val="20"/>
                      <w:szCs w:val="20"/>
                      <w:lang w:eastAsia="fr-FR"/>
                    </w:rPr>
                  </w:pPr>
                </w:p>
              </w:tc>
              <w:tc>
                <w:tcPr>
                  <w:tcW w:w="0" w:type="auto"/>
                  <w:tcMar>
                    <w:top w:w="0" w:type="dxa"/>
                    <w:left w:w="0" w:type="dxa"/>
                    <w:bottom w:w="0" w:type="dxa"/>
                    <w:right w:w="60" w:type="dxa"/>
                  </w:tcMar>
                  <w:vAlign w:val="center"/>
                  <w:hideMark/>
                </w:tcPr>
                <w:p w:rsidR="00BD5DC5" w:rsidRPr="00BD5DC5" w:rsidRDefault="00BD5DC5">
                  <w:pPr>
                    <w:rPr>
                      <w:sz w:val="20"/>
                      <w:szCs w:val="20"/>
                      <w:lang w:eastAsia="fr-FR"/>
                    </w:rPr>
                  </w:pPr>
                </w:p>
              </w:tc>
            </w:tr>
          </w:tbl>
          <w:p w:rsidR="00BD5DC5" w:rsidRPr="00BD5DC5" w:rsidRDefault="00BD5DC5">
            <w:pPr>
              <w:rPr>
                <w:color w:val="1F497D"/>
                <w:sz w:val="20"/>
                <w:szCs w:val="20"/>
              </w:rPr>
            </w:pPr>
            <w:r w:rsidRPr="00BD5DC5">
              <w:rPr>
                <w:rFonts w:cs="Arial"/>
                <w:b/>
                <w:bCs/>
                <w:color w:val="002060"/>
                <w:sz w:val="20"/>
                <w:szCs w:val="20"/>
              </w:rPr>
              <w:br/>
              <w:t>Site internet des coordonnateurs régionaux d’hémovigilance :</w:t>
            </w:r>
            <w:r w:rsidRPr="00BD5DC5">
              <w:rPr>
                <w:rFonts w:cs="Arial"/>
                <w:b/>
                <w:bCs/>
                <w:color w:val="1F497D"/>
                <w:sz w:val="20"/>
                <w:szCs w:val="20"/>
              </w:rPr>
              <w:t xml:space="preserve"> </w:t>
            </w:r>
            <w:r w:rsidR="00C92F1E">
              <w:rPr>
                <w:rFonts w:cs="Arial"/>
                <w:b/>
                <w:bCs/>
                <w:color w:val="1F497D"/>
                <w:sz w:val="20"/>
                <w:szCs w:val="20"/>
              </w:rPr>
              <w:br/>
            </w:r>
            <w:hyperlink r:id="rId14" w:history="1">
              <w:r w:rsidRPr="00C92F1E">
                <w:rPr>
                  <w:rStyle w:val="Lienhypertexte"/>
                  <w:rFonts w:cs="Arial"/>
                  <w:color w:val="365F91" w:themeColor="accent1" w:themeShade="BF"/>
                  <w:sz w:val="20"/>
                  <w:szCs w:val="20"/>
                </w:rPr>
                <w:t>http://hemovigilance-cncrh.fr</w:t>
              </w:r>
            </w:hyperlink>
          </w:p>
          <w:p w:rsidR="00BD5DC5" w:rsidRPr="00BD5DC5" w:rsidRDefault="00BD5DC5">
            <w:pPr>
              <w:rPr>
                <w:sz w:val="20"/>
                <w:szCs w:val="20"/>
              </w:rPr>
            </w:pPr>
          </w:p>
        </w:tc>
      </w:tr>
      <w:tr w:rsidR="00F35857" w:rsidRPr="00BD5DC5" w:rsidTr="00555892">
        <w:trPr>
          <w:jc w:val="center"/>
        </w:trPr>
        <w:tc>
          <w:tcPr>
            <w:tcW w:w="9286" w:type="dxa"/>
            <w:tcMar>
              <w:top w:w="0" w:type="dxa"/>
              <w:left w:w="108" w:type="dxa"/>
              <w:bottom w:w="0" w:type="dxa"/>
              <w:right w:w="108" w:type="dxa"/>
            </w:tcMar>
          </w:tcPr>
          <w:p w:rsidR="00F35857" w:rsidRPr="00BD5DC5" w:rsidRDefault="00F35857">
            <w:pPr>
              <w:spacing w:line="276" w:lineRule="auto"/>
              <w:rPr>
                <w:rFonts w:cs="Arial"/>
                <w:b/>
                <w:bCs/>
                <w:color w:val="223D78"/>
                <w:sz w:val="20"/>
                <w:szCs w:val="20"/>
              </w:rPr>
            </w:pPr>
          </w:p>
        </w:tc>
      </w:tr>
    </w:tbl>
    <w:p w:rsidR="003767C1" w:rsidRPr="00516D5B" w:rsidRDefault="003767C1">
      <w:pPr>
        <w:rPr>
          <w:rFonts w:ascii="Garamond" w:hAnsi="Garamond"/>
        </w:rPr>
      </w:pPr>
    </w:p>
    <w:sectPr w:rsidR="003767C1" w:rsidRPr="00516D5B" w:rsidSect="008C0333">
      <w:headerReference w:type="default" r:id="rId15"/>
      <w:footerReference w:type="default" r:id="rId16"/>
      <w:pgSz w:w="11906" w:h="16838"/>
      <w:pgMar w:top="1418" w:right="1418" w:bottom="1418" w:left="1418" w:header="709" w:footer="709" w:gutter="0"/>
      <w:pgBorders w:offsetFrom="page">
        <w:left w:val="single" w:sz="18" w:space="24" w:color="C0504D" w:themeColor="accent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83" w:rsidRDefault="00752083" w:rsidP="00AE13BF">
      <w:r>
        <w:separator/>
      </w:r>
    </w:p>
  </w:endnote>
  <w:endnote w:type="continuationSeparator" w:id="0">
    <w:p w:rsidR="00752083" w:rsidRDefault="00752083" w:rsidP="00AE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0"/>
      <w:gridCol w:w="930"/>
    </w:tblGrid>
    <w:tr w:rsidR="004F6D29">
      <w:tc>
        <w:tcPr>
          <w:tcW w:w="4500" w:type="pct"/>
          <w:tcBorders>
            <w:top w:val="single" w:sz="4" w:space="0" w:color="000000" w:themeColor="text1"/>
          </w:tcBorders>
        </w:tcPr>
        <w:p w:rsidR="004F6D29" w:rsidRPr="0086715E" w:rsidRDefault="00752083" w:rsidP="00E95021">
          <w:pPr>
            <w:pStyle w:val="Pieddepage"/>
            <w:jc w:val="left"/>
            <w:rPr>
              <w:b w:val="0"/>
              <w:sz w:val="20"/>
              <w:szCs w:val="20"/>
            </w:rPr>
          </w:pPr>
          <w:sdt>
            <w:sdtPr>
              <w:rPr>
                <w:rFonts w:ascii="Garamond" w:hAnsi="Garamond"/>
                <w:b w:val="0"/>
                <w:sz w:val="20"/>
                <w:szCs w:val="20"/>
              </w:rPr>
              <w:alias w:val="Société"/>
              <w:id w:val="75971759"/>
              <w:dataBinding w:prefixMappings="xmlns:ns0='http://schemas.openxmlformats.org/officeDocument/2006/extended-properties'" w:xpath="/ns0:Properties[1]/ns0:Company[1]" w:storeItemID="{6668398D-A668-4E3E-A5EB-62B293D839F1}"/>
              <w:text/>
            </w:sdtPr>
            <w:sdtEndPr/>
            <w:sdtContent>
              <w:r w:rsidR="008430DA">
                <w:rPr>
                  <w:rFonts w:ascii="Garamond" w:hAnsi="Garamond"/>
                  <w:b w:val="0"/>
                  <w:sz w:val="20"/>
                  <w:szCs w:val="20"/>
                </w:rPr>
                <w:t>DSPE - VSS - RREVA - Cellule régionale d’hémovigilance PACA</w:t>
              </w:r>
            </w:sdtContent>
          </w:sdt>
          <w:r w:rsidR="00716F0E" w:rsidRPr="0086715E">
            <w:rPr>
              <w:b w:val="0"/>
              <w:sz w:val="20"/>
              <w:szCs w:val="20"/>
            </w:rPr>
            <w:t xml:space="preserve"> </w:t>
          </w:r>
        </w:p>
      </w:tc>
      <w:tc>
        <w:tcPr>
          <w:tcW w:w="500" w:type="pct"/>
          <w:tcBorders>
            <w:top w:val="single" w:sz="4" w:space="0" w:color="C0504D" w:themeColor="accent2"/>
          </w:tcBorders>
          <w:shd w:val="clear" w:color="auto" w:fill="943634" w:themeFill="accent2" w:themeFillShade="BF"/>
        </w:tcPr>
        <w:p w:rsidR="004F6D29" w:rsidRDefault="004F6D29">
          <w:pPr>
            <w:pStyle w:val="En-tte"/>
            <w:rPr>
              <w:color w:val="FFFFFF" w:themeColor="background1"/>
            </w:rPr>
          </w:pPr>
          <w:r>
            <w:fldChar w:fldCharType="begin"/>
          </w:r>
          <w:r>
            <w:instrText>PAGE   \* MERGEFORMAT</w:instrText>
          </w:r>
          <w:r>
            <w:fldChar w:fldCharType="separate"/>
          </w:r>
          <w:r w:rsidR="00A568EF" w:rsidRPr="00A568EF">
            <w:rPr>
              <w:noProof/>
              <w:color w:val="FFFFFF" w:themeColor="background1"/>
            </w:rPr>
            <w:t>5</w:t>
          </w:r>
          <w:r>
            <w:rPr>
              <w:color w:val="FFFFFF" w:themeColor="background1"/>
            </w:rPr>
            <w:fldChar w:fldCharType="end"/>
          </w:r>
        </w:p>
      </w:tc>
    </w:tr>
  </w:tbl>
  <w:p w:rsidR="00AE13BF" w:rsidRDefault="00AE13BF" w:rsidP="00DC2B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83" w:rsidRDefault="00752083" w:rsidP="00AE13BF">
      <w:r>
        <w:separator/>
      </w:r>
    </w:p>
  </w:footnote>
  <w:footnote w:type="continuationSeparator" w:id="0">
    <w:p w:rsidR="00752083" w:rsidRDefault="00752083" w:rsidP="00AE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2"/>
      <w:tblW w:w="5000" w:type="pct"/>
      <w:tblLook w:val="04A0" w:firstRow="1" w:lastRow="0" w:firstColumn="1" w:lastColumn="0" w:noHBand="0" w:noVBand="1"/>
    </w:tblPr>
    <w:tblGrid>
      <w:gridCol w:w="8129"/>
      <w:gridCol w:w="1157"/>
    </w:tblGrid>
    <w:tr w:rsidR="00707B0F" w:rsidRPr="008C0333" w:rsidTr="000406F4">
      <w:trPr>
        <w:cnfStyle w:val="100000000000" w:firstRow="1" w:lastRow="0" w:firstColumn="0" w:lastColumn="0" w:oddVBand="0" w:evenVBand="0" w:oddHBand="0" w:evenHBand="0" w:firstRowFirstColumn="0" w:firstRowLastColumn="0" w:lastRowFirstColumn="0" w:lastRowLastColumn="0"/>
        <w:trHeight w:val="288"/>
      </w:trPr>
      <w:sdt>
        <w:sdtPr>
          <w:rPr>
            <w:rFonts w:eastAsiaTheme="majorEastAsia" w:cstheme="majorBidi"/>
            <w:color w:val="17365D" w:themeColor="text2" w:themeShade="BF"/>
            <w:spacing w:val="5"/>
            <w:kern w:val="28"/>
            <w:sz w:val="16"/>
            <w:szCs w:val="16"/>
          </w:rPr>
          <w:alias w:val="Titre"/>
          <w:id w:val="77761602"/>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7765" w:type="dxa"/>
              <w:vAlign w:val="center"/>
            </w:tcPr>
            <w:p w:rsidR="00707B0F" w:rsidRPr="007F398A" w:rsidRDefault="00AE644D" w:rsidP="00707B0F">
              <w:pPr>
                <w:pStyle w:val="En-tte"/>
                <w:rPr>
                  <w:rFonts w:eastAsiaTheme="majorEastAsia" w:cstheme="majorBidi"/>
                  <w:sz w:val="16"/>
                  <w:szCs w:val="16"/>
                </w:rPr>
              </w:pPr>
              <w:r w:rsidRPr="007F398A">
                <w:rPr>
                  <w:rFonts w:eastAsiaTheme="majorEastAsia" w:cstheme="majorBidi"/>
                  <w:color w:val="17365D" w:themeColor="text2" w:themeShade="BF"/>
                  <w:spacing w:val="5"/>
                  <w:kern w:val="28"/>
                  <w:sz w:val="16"/>
                  <w:szCs w:val="16"/>
                </w:rPr>
                <w:t>LIVRET D’ACCUEIL DU CORRESPONDANT HEMOVIGILANCE D’ETABLISSEMENT DE SANTE</w:t>
              </w:r>
            </w:p>
          </w:tc>
        </w:sdtContent>
      </w:sdt>
      <w:tc>
        <w:tcPr>
          <w:tcW w:w="1105" w:type="dxa"/>
          <w:vAlign w:val="center"/>
        </w:tcPr>
        <w:p w:rsidR="00707B0F" w:rsidRPr="008C0333" w:rsidRDefault="00707B0F" w:rsidP="00707B0F">
          <w:pPr>
            <w:pStyle w:val="En-tte"/>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4F81BD" w:themeColor="accent1"/>
              <w:sz w:val="16"/>
              <w:szCs w:val="16"/>
              <w14:numForm w14:val="oldStyle"/>
            </w:rPr>
          </w:pPr>
        </w:p>
      </w:tc>
    </w:tr>
  </w:tbl>
  <w:p w:rsidR="00707B0F" w:rsidRDefault="00707B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93B"/>
    <w:multiLevelType w:val="hybridMultilevel"/>
    <w:tmpl w:val="B8A0639C"/>
    <w:lvl w:ilvl="0" w:tplc="08EC9BB6">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201E1C"/>
    <w:multiLevelType w:val="hybridMultilevel"/>
    <w:tmpl w:val="F23ED258"/>
    <w:lvl w:ilvl="0" w:tplc="209E981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33D7C"/>
    <w:multiLevelType w:val="hybridMultilevel"/>
    <w:tmpl w:val="E2765C12"/>
    <w:lvl w:ilvl="0" w:tplc="E844306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A30C07"/>
    <w:multiLevelType w:val="hybridMultilevel"/>
    <w:tmpl w:val="3E826412"/>
    <w:lvl w:ilvl="0" w:tplc="08EC9BB6">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6F0A59"/>
    <w:multiLevelType w:val="hybridMultilevel"/>
    <w:tmpl w:val="0756DA02"/>
    <w:lvl w:ilvl="0" w:tplc="08EC9BB6">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1A5798"/>
    <w:multiLevelType w:val="hybridMultilevel"/>
    <w:tmpl w:val="79C60EE2"/>
    <w:lvl w:ilvl="0" w:tplc="08EC9BB6">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CB2C76"/>
    <w:multiLevelType w:val="hybridMultilevel"/>
    <w:tmpl w:val="DAC8DC38"/>
    <w:lvl w:ilvl="0" w:tplc="08EC9BB6">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EA4D98"/>
    <w:multiLevelType w:val="hybridMultilevel"/>
    <w:tmpl w:val="1C9A7E9C"/>
    <w:lvl w:ilvl="0" w:tplc="08EC9BB6">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C3"/>
    <w:rsid w:val="00006EFF"/>
    <w:rsid w:val="000166C0"/>
    <w:rsid w:val="00021908"/>
    <w:rsid w:val="000406F4"/>
    <w:rsid w:val="00054BEA"/>
    <w:rsid w:val="0007622E"/>
    <w:rsid w:val="00087647"/>
    <w:rsid w:val="00116B08"/>
    <w:rsid w:val="0016457A"/>
    <w:rsid w:val="001A6712"/>
    <w:rsid w:val="001E1288"/>
    <w:rsid w:val="002457E5"/>
    <w:rsid w:val="00270A34"/>
    <w:rsid w:val="002B3A0D"/>
    <w:rsid w:val="002D47F4"/>
    <w:rsid w:val="002F4FFE"/>
    <w:rsid w:val="0033532A"/>
    <w:rsid w:val="00341AF8"/>
    <w:rsid w:val="00347786"/>
    <w:rsid w:val="003767C1"/>
    <w:rsid w:val="003B57B9"/>
    <w:rsid w:val="003C1CE7"/>
    <w:rsid w:val="003D0C75"/>
    <w:rsid w:val="00417A9F"/>
    <w:rsid w:val="004204CE"/>
    <w:rsid w:val="00441988"/>
    <w:rsid w:val="0045284A"/>
    <w:rsid w:val="0048267D"/>
    <w:rsid w:val="004D7B14"/>
    <w:rsid w:val="004F6D29"/>
    <w:rsid w:val="00516D5B"/>
    <w:rsid w:val="00555892"/>
    <w:rsid w:val="0057152C"/>
    <w:rsid w:val="00576E67"/>
    <w:rsid w:val="005A36E1"/>
    <w:rsid w:val="005C210B"/>
    <w:rsid w:val="005E3522"/>
    <w:rsid w:val="0061699A"/>
    <w:rsid w:val="00637732"/>
    <w:rsid w:val="00656A0A"/>
    <w:rsid w:val="006A5162"/>
    <w:rsid w:val="006B0CF7"/>
    <w:rsid w:val="006B7163"/>
    <w:rsid w:val="007062C4"/>
    <w:rsid w:val="0070690F"/>
    <w:rsid w:val="00707B0F"/>
    <w:rsid w:val="00716F0E"/>
    <w:rsid w:val="00721CB0"/>
    <w:rsid w:val="007227C1"/>
    <w:rsid w:val="00732F2F"/>
    <w:rsid w:val="0074723C"/>
    <w:rsid w:val="00752083"/>
    <w:rsid w:val="007B6866"/>
    <w:rsid w:val="007B6FBD"/>
    <w:rsid w:val="007F398A"/>
    <w:rsid w:val="008430DA"/>
    <w:rsid w:val="0086715E"/>
    <w:rsid w:val="008C0333"/>
    <w:rsid w:val="008E6A63"/>
    <w:rsid w:val="00907D16"/>
    <w:rsid w:val="00930DAD"/>
    <w:rsid w:val="009673C7"/>
    <w:rsid w:val="009C550B"/>
    <w:rsid w:val="00A02BF8"/>
    <w:rsid w:val="00A02E62"/>
    <w:rsid w:val="00A14AEF"/>
    <w:rsid w:val="00A15297"/>
    <w:rsid w:val="00A3435D"/>
    <w:rsid w:val="00A52023"/>
    <w:rsid w:val="00A568EF"/>
    <w:rsid w:val="00A677C1"/>
    <w:rsid w:val="00A96A07"/>
    <w:rsid w:val="00A9776A"/>
    <w:rsid w:val="00AB2398"/>
    <w:rsid w:val="00AB7123"/>
    <w:rsid w:val="00AE0973"/>
    <w:rsid w:val="00AE13BF"/>
    <w:rsid w:val="00AE644D"/>
    <w:rsid w:val="00B321AA"/>
    <w:rsid w:val="00B332A9"/>
    <w:rsid w:val="00BD2704"/>
    <w:rsid w:val="00BD5DC5"/>
    <w:rsid w:val="00C05CC7"/>
    <w:rsid w:val="00C246E2"/>
    <w:rsid w:val="00C24CC3"/>
    <w:rsid w:val="00C7717D"/>
    <w:rsid w:val="00C92F1E"/>
    <w:rsid w:val="00CA71B2"/>
    <w:rsid w:val="00CB4E05"/>
    <w:rsid w:val="00CC0F04"/>
    <w:rsid w:val="00CC172D"/>
    <w:rsid w:val="00CC4825"/>
    <w:rsid w:val="00CF08E8"/>
    <w:rsid w:val="00D026FC"/>
    <w:rsid w:val="00D104CF"/>
    <w:rsid w:val="00D97920"/>
    <w:rsid w:val="00DC2B27"/>
    <w:rsid w:val="00E30CDB"/>
    <w:rsid w:val="00E3293F"/>
    <w:rsid w:val="00E35D96"/>
    <w:rsid w:val="00E56B9B"/>
    <w:rsid w:val="00E77A4A"/>
    <w:rsid w:val="00E8058B"/>
    <w:rsid w:val="00E95021"/>
    <w:rsid w:val="00EA7D04"/>
    <w:rsid w:val="00EF65C1"/>
    <w:rsid w:val="00F10AD0"/>
    <w:rsid w:val="00F35857"/>
    <w:rsid w:val="00F55BB3"/>
    <w:rsid w:val="00F91E3F"/>
    <w:rsid w:val="00F960C9"/>
    <w:rsid w:val="00FE1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06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006E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06EFF"/>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006E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06EF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06EF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06EFF"/>
    <w:pPr>
      <w:ind w:left="720"/>
      <w:contextualSpacing/>
    </w:pPr>
  </w:style>
  <w:style w:type="paragraph" w:styleId="En-tte">
    <w:name w:val="header"/>
    <w:basedOn w:val="Normal"/>
    <w:link w:val="En-tteCar"/>
    <w:uiPriority w:val="99"/>
    <w:unhideWhenUsed/>
    <w:rsid w:val="00AE13BF"/>
    <w:pPr>
      <w:tabs>
        <w:tab w:val="center" w:pos="4536"/>
        <w:tab w:val="right" w:pos="9072"/>
      </w:tabs>
    </w:pPr>
  </w:style>
  <w:style w:type="character" w:customStyle="1" w:styleId="En-tteCar">
    <w:name w:val="En-tête Car"/>
    <w:basedOn w:val="Policepardfaut"/>
    <w:link w:val="En-tte"/>
    <w:uiPriority w:val="99"/>
    <w:rsid w:val="00AE13BF"/>
  </w:style>
  <w:style w:type="paragraph" w:styleId="Pieddepage">
    <w:name w:val="footer"/>
    <w:basedOn w:val="Normal"/>
    <w:link w:val="PieddepageCar"/>
    <w:uiPriority w:val="99"/>
    <w:unhideWhenUsed/>
    <w:rsid w:val="00DC2B27"/>
    <w:pPr>
      <w:tabs>
        <w:tab w:val="center" w:pos="4536"/>
        <w:tab w:val="right" w:pos="9072"/>
      </w:tabs>
      <w:jc w:val="right"/>
    </w:pPr>
    <w:rPr>
      <w:b/>
      <w:bCs/>
      <w:noProof/>
    </w:rPr>
  </w:style>
  <w:style w:type="character" w:customStyle="1" w:styleId="PieddepageCar">
    <w:name w:val="Pied de page Car"/>
    <w:basedOn w:val="Policepardfaut"/>
    <w:link w:val="Pieddepage"/>
    <w:uiPriority w:val="99"/>
    <w:rsid w:val="00DC2B27"/>
    <w:rPr>
      <w:b/>
      <w:bCs/>
      <w:noProof/>
    </w:rPr>
  </w:style>
  <w:style w:type="paragraph" w:styleId="Textedebulles">
    <w:name w:val="Balloon Text"/>
    <w:basedOn w:val="Normal"/>
    <w:link w:val="TextedebullesCar"/>
    <w:uiPriority w:val="99"/>
    <w:semiHidden/>
    <w:unhideWhenUsed/>
    <w:rsid w:val="00AE13BF"/>
    <w:rPr>
      <w:rFonts w:ascii="Tahoma" w:hAnsi="Tahoma" w:cs="Tahoma"/>
      <w:sz w:val="16"/>
      <w:szCs w:val="16"/>
    </w:rPr>
  </w:style>
  <w:style w:type="character" w:customStyle="1" w:styleId="TextedebullesCar">
    <w:name w:val="Texte de bulles Car"/>
    <w:basedOn w:val="Policepardfaut"/>
    <w:link w:val="Textedebulles"/>
    <w:uiPriority w:val="99"/>
    <w:semiHidden/>
    <w:rsid w:val="00AE13BF"/>
    <w:rPr>
      <w:rFonts w:ascii="Tahoma" w:hAnsi="Tahoma" w:cs="Tahoma"/>
      <w:sz w:val="16"/>
      <w:szCs w:val="16"/>
    </w:rPr>
  </w:style>
  <w:style w:type="table" w:styleId="Trameclaire-Accent2">
    <w:name w:val="Light Shading Accent 2"/>
    <w:basedOn w:val="TableauNormal"/>
    <w:uiPriority w:val="60"/>
    <w:rsid w:val="000406F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8C0333"/>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F5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D7B14"/>
    <w:rPr>
      <w:b/>
      <w:bCs/>
    </w:rPr>
  </w:style>
  <w:style w:type="character" w:styleId="Lienhypertexte">
    <w:name w:val="Hyperlink"/>
    <w:basedOn w:val="Policepardfaut"/>
    <w:uiPriority w:val="99"/>
    <w:unhideWhenUsed/>
    <w:rsid w:val="00BD5DC5"/>
    <w:rPr>
      <w:color w:val="0000FF"/>
      <w:u w:val="single"/>
    </w:rPr>
  </w:style>
  <w:style w:type="paragraph" w:styleId="TM1">
    <w:name w:val="toc 1"/>
    <w:basedOn w:val="Normal"/>
    <w:next w:val="Normal"/>
    <w:autoRedefine/>
    <w:uiPriority w:val="39"/>
    <w:unhideWhenUsed/>
    <w:rsid w:val="000166C0"/>
    <w:pPr>
      <w:spacing w:before="120" w:after="120"/>
    </w:pPr>
    <w:rPr>
      <w:b/>
      <w:bCs/>
      <w:caps/>
      <w:sz w:val="20"/>
      <w:szCs w:val="20"/>
    </w:rPr>
  </w:style>
  <w:style w:type="paragraph" w:styleId="TM2">
    <w:name w:val="toc 2"/>
    <w:basedOn w:val="Normal"/>
    <w:next w:val="Normal"/>
    <w:autoRedefine/>
    <w:uiPriority w:val="39"/>
    <w:unhideWhenUsed/>
    <w:rsid w:val="000166C0"/>
    <w:pPr>
      <w:ind w:left="220"/>
    </w:pPr>
    <w:rPr>
      <w:smallCaps/>
      <w:sz w:val="20"/>
      <w:szCs w:val="20"/>
    </w:rPr>
  </w:style>
  <w:style w:type="paragraph" w:styleId="TM3">
    <w:name w:val="toc 3"/>
    <w:basedOn w:val="Normal"/>
    <w:next w:val="Normal"/>
    <w:autoRedefine/>
    <w:uiPriority w:val="39"/>
    <w:unhideWhenUsed/>
    <w:rsid w:val="000166C0"/>
    <w:pPr>
      <w:ind w:left="440"/>
    </w:pPr>
    <w:rPr>
      <w:i/>
      <w:iCs/>
      <w:sz w:val="20"/>
      <w:szCs w:val="20"/>
    </w:rPr>
  </w:style>
  <w:style w:type="paragraph" w:styleId="TM4">
    <w:name w:val="toc 4"/>
    <w:basedOn w:val="Normal"/>
    <w:next w:val="Normal"/>
    <w:autoRedefine/>
    <w:uiPriority w:val="39"/>
    <w:unhideWhenUsed/>
    <w:rsid w:val="000166C0"/>
    <w:pPr>
      <w:ind w:left="660"/>
    </w:pPr>
    <w:rPr>
      <w:sz w:val="18"/>
      <w:szCs w:val="18"/>
    </w:rPr>
  </w:style>
  <w:style w:type="paragraph" w:styleId="TM5">
    <w:name w:val="toc 5"/>
    <w:basedOn w:val="Normal"/>
    <w:next w:val="Normal"/>
    <w:autoRedefine/>
    <w:uiPriority w:val="39"/>
    <w:unhideWhenUsed/>
    <w:rsid w:val="000166C0"/>
    <w:pPr>
      <w:ind w:left="880"/>
    </w:pPr>
    <w:rPr>
      <w:sz w:val="18"/>
      <w:szCs w:val="18"/>
    </w:rPr>
  </w:style>
  <w:style w:type="paragraph" w:styleId="TM6">
    <w:name w:val="toc 6"/>
    <w:basedOn w:val="Normal"/>
    <w:next w:val="Normal"/>
    <w:autoRedefine/>
    <w:uiPriority w:val="39"/>
    <w:unhideWhenUsed/>
    <w:rsid w:val="000166C0"/>
    <w:pPr>
      <w:ind w:left="1100"/>
    </w:pPr>
    <w:rPr>
      <w:sz w:val="18"/>
      <w:szCs w:val="18"/>
    </w:rPr>
  </w:style>
  <w:style w:type="paragraph" w:styleId="TM7">
    <w:name w:val="toc 7"/>
    <w:basedOn w:val="Normal"/>
    <w:next w:val="Normal"/>
    <w:autoRedefine/>
    <w:uiPriority w:val="39"/>
    <w:unhideWhenUsed/>
    <w:rsid w:val="000166C0"/>
    <w:pPr>
      <w:ind w:left="1320"/>
    </w:pPr>
    <w:rPr>
      <w:sz w:val="18"/>
      <w:szCs w:val="18"/>
    </w:rPr>
  </w:style>
  <w:style w:type="paragraph" w:styleId="TM8">
    <w:name w:val="toc 8"/>
    <w:basedOn w:val="Normal"/>
    <w:next w:val="Normal"/>
    <w:autoRedefine/>
    <w:uiPriority w:val="39"/>
    <w:unhideWhenUsed/>
    <w:rsid w:val="000166C0"/>
    <w:pPr>
      <w:ind w:left="1540"/>
    </w:pPr>
    <w:rPr>
      <w:sz w:val="18"/>
      <w:szCs w:val="18"/>
    </w:rPr>
  </w:style>
  <w:style w:type="paragraph" w:styleId="TM9">
    <w:name w:val="toc 9"/>
    <w:basedOn w:val="Normal"/>
    <w:next w:val="Normal"/>
    <w:autoRedefine/>
    <w:uiPriority w:val="39"/>
    <w:unhideWhenUsed/>
    <w:rsid w:val="000166C0"/>
    <w:pPr>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06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006E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06EFF"/>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006E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06EF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06EF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06EFF"/>
    <w:pPr>
      <w:ind w:left="720"/>
      <w:contextualSpacing/>
    </w:pPr>
  </w:style>
  <w:style w:type="paragraph" w:styleId="En-tte">
    <w:name w:val="header"/>
    <w:basedOn w:val="Normal"/>
    <w:link w:val="En-tteCar"/>
    <w:uiPriority w:val="99"/>
    <w:unhideWhenUsed/>
    <w:rsid w:val="00AE13BF"/>
    <w:pPr>
      <w:tabs>
        <w:tab w:val="center" w:pos="4536"/>
        <w:tab w:val="right" w:pos="9072"/>
      </w:tabs>
    </w:pPr>
  </w:style>
  <w:style w:type="character" w:customStyle="1" w:styleId="En-tteCar">
    <w:name w:val="En-tête Car"/>
    <w:basedOn w:val="Policepardfaut"/>
    <w:link w:val="En-tte"/>
    <w:uiPriority w:val="99"/>
    <w:rsid w:val="00AE13BF"/>
  </w:style>
  <w:style w:type="paragraph" w:styleId="Pieddepage">
    <w:name w:val="footer"/>
    <w:basedOn w:val="Normal"/>
    <w:link w:val="PieddepageCar"/>
    <w:uiPriority w:val="99"/>
    <w:unhideWhenUsed/>
    <w:rsid w:val="00DC2B27"/>
    <w:pPr>
      <w:tabs>
        <w:tab w:val="center" w:pos="4536"/>
        <w:tab w:val="right" w:pos="9072"/>
      </w:tabs>
      <w:jc w:val="right"/>
    </w:pPr>
    <w:rPr>
      <w:b/>
      <w:bCs/>
      <w:noProof/>
    </w:rPr>
  </w:style>
  <w:style w:type="character" w:customStyle="1" w:styleId="PieddepageCar">
    <w:name w:val="Pied de page Car"/>
    <w:basedOn w:val="Policepardfaut"/>
    <w:link w:val="Pieddepage"/>
    <w:uiPriority w:val="99"/>
    <w:rsid w:val="00DC2B27"/>
    <w:rPr>
      <w:b/>
      <w:bCs/>
      <w:noProof/>
    </w:rPr>
  </w:style>
  <w:style w:type="paragraph" w:styleId="Textedebulles">
    <w:name w:val="Balloon Text"/>
    <w:basedOn w:val="Normal"/>
    <w:link w:val="TextedebullesCar"/>
    <w:uiPriority w:val="99"/>
    <w:semiHidden/>
    <w:unhideWhenUsed/>
    <w:rsid w:val="00AE13BF"/>
    <w:rPr>
      <w:rFonts w:ascii="Tahoma" w:hAnsi="Tahoma" w:cs="Tahoma"/>
      <w:sz w:val="16"/>
      <w:szCs w:val="16"/>
    </w:rPr>
  </w:style>
  <w:style w:type="character" w:customStyle="1" w:styleId="TextedebullesCar">
    <w:name w:val="Texte de bulles Car"/>
    <w:basedOn w:val="Policepardfaut"/>
    <w:link w:val="Textedebulles"/>
    <w:uiPriority w:val="99"/>
    <w:semiHidden/>
    <w:rsid w:val="00AE13BF"/>
    <w:rPr>
      <w:rFonts w:ascii="Tahoma" w:hAnsi="Tahoma" w:cs="Tahoma"/>
      <w:sz w:val="16"/>
      <w:szCs w:val="16"/>
    </w:rPr>
  </w:style>
  <w:style w:type="table" w:styleId="Trameclaire-Accent2">
    <w:name w:val="Light Shading Accent 2"/>
    <w:basedOn w:val="TableauNormal"/>
    <w:uiPriority w:val="60"/>
    <w:rsid w:val="000406F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8C0333"/>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F5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D7B14"/>
    <w:rPr>
      <w:b/>
      <w:bCs/>
    </w:rPr>
  </w:style>
  <w:style w:type="character" w:styleId="Lienhypertexte">
    <w:name w:val="Hyperlink"/>
    <w:basedOn w:val="Policepardfaut"/>
    <w:uiPriority w:val="99"/>
    <w:unhideWhenUsed/>
    <w:rsid w:val="00BD5DC5"/>
    <w:rPr>
      <w:color w:val="0000FF"/>
      <w:u w:val="single"/>
    </w:rPr>
  </w:style>
  <w:style w:type="paragraph" w:styleId="TM1">
    <w:name w:val="toc 1"/>
    <w:basedOn w:val="Normal"/>
    <w:next w:val="Normal"/>
    <w:autoRedefine/>
    <w:uiPriority w:val="39"/>
    <w:unhideWhenUsed/>
    <w:rsid w:val="000166C0"/>
    <w:pPr>
      <w:spacing w:before="120" w:after="120"/>
    </w:pPr>
    <w:rPr>
      <w:b/>
      <w:bCs/>
      <w:caps/>
      <w:sz w:val="20"/>
      <w:szCs w:val="20"/>
    </w:rPr>
  </w:style>
  <w:style w:type="paragraph" w:styleId="TM2">
    <w:name w:val="toc 2"/>
    <w:basedOn w:val="Normal"/>
    <w:next w:val="Normal"/>
    <w:autoRedefine/>
    <w:uiPriority w:val="39"/>
    <w:unhideWhenUsed/>
    <w:rsid w:val="000166C0"/>
    <w:pPr>
      <w:ind w:left="220"/>
    </w:pPr>
    <w:rPr>
      <w:smallCaps/>
      <w:sz w:val="20"/>
      <w:szCs w:val="20"/>
    </w:rPr>
  </w:style>
  <w:style w:type="paragraph" w:styleId="TM3">
    <w:name w:val="toc 3"/>
    <w:basedOn w:val="Normal"/>
    <w:next w:val="Normal"/>
    <w:autoRedefine/>
    <w:uiPriority w:val="39"/>
    <w:unhideWhenUsed/>
    <w:rsid w:val="000166C0"/>
    <w:pPr>
      <w:ind w:left="440"/>
    </w:pPr>
    <w:rPr>
      <w:i/>
      <w:iCs/>
      <w:sz w:val="20"/>
      <w:szCs w:val="20"/>
    </w:rPr>
  </w:style>
  <w:style w:type="paragraph" w:styleId="TM4">
    <w:name w:val="toc 4"/>
    <w:basedOn w:val="Normal"/>
    <w:next w:val="Normal"/>
    <w:autoRedefine/>
    <w:uiPriority w:val="39"/>
    <w:unhideWhenUsed/>
    <w:rsid w:val="000166C0"/>
    <w:pPr>
      <w:ind w:left="660"/>
    </w:pPr>
    <w:rPr>
      <w:sz w:val="18"/>
      <w:szCs w:val="18"/>
    </w:rPr>
  </w:style>
  <w:style w:type="paragraph" w:styleId="TM5">
    <w:name w:val="toc 5"/>
    <w:basedOn w:val="Normal"/>
    <w:next w:val="Normal"/>
    <w:autoRedefine/>
    <w:uiPriority w:val="39"/>
    <w:unhideWhenUsed/>
    <w:rsid w:val="000166C0"/>
    <w:pPr>
      <w:ind w:left="880"/>
    </w:pPr>
    <w:rPr>
      <w:sz w:val="18"/>
      <w:szCs w:val="18"/>
    </w:rPr>
  </w:style>
  <w:style w:type="paragraph" w:styleId="TM6">
    <w:name w:val="toc 6"/>
    <w:basedOn w:val="Normal"/>
    <w:next w:val="Normal"/>
    <w:autoRedefine/>
    <w:uiPriority w:val="39"/>
    <w:unhideWhenUsed/>
    <w:rsid w:val="000166C0"/>
    <w:pPr>
      <w:ind w:left="1100"/>
    </w:pPr>
    <w:rPr>
      <w:sz w:val="18"/>
      <w:szCs w:val="18"/>
    </w:rPr>
  </w:style>
  <w:style w:type="paragraph" w:styleId="TM7">
    <w:name w:val="toc 7"/>
    <w:basedOn w:val="Normal"/>
    <w:next w:val="Normal"/>
    <w:autoRedefine/>
    <w:uiPriority w:val="39"/>
    <w:unhideWhenUsed/>
    <w:rsid w:val="000166C0"/>
    <w:pPr>
      <w:ind w:left="1320"/>
    </w:pPr>
    <w:rPr>
      <w:sz w:val="18"/>
      <w:szCs w:val="18"/>
    </w:rPr>
  </w:style>
  <w:style w:type="paragraph" w:styleId="TM8">
    <w:name w:val="toc 8"/>
    <w:basedOn w:val="Normal"/>
    <w:next w:val="Normal"/>
    <w:autoRedefine/>
    <w:uiPriority w:val="39"/>
    <w:unhideWhenUsed/>
    <w:rsid w:val="000166C0"/>
    <w:pPr>
      <w:ind w:left="1540"/>
    </w:pPr>
    <w:rPr>
      <w:sz w:val="18"/>
      <w:szCs w:val="18"/>
    </w:rPr>
  </w:style>
  <w:style w:type="paragraph" w:styleId="TM9">
    <w:name w:val="toc 9"/>
    <w:basedOn w:val="Normal"/>
    <w:next w:val="Normal"/>
    <w:autoRedefine/>
    <w:uiPriority w:val="39"/>
    <w:unhideWhenUsed/>
    <w:rsid w:val="000166C0"/>
    <w:pPr>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932418">
      <w:bodyDiv w:val="1"/>
      <w:marLeft w:val="0"/>
      <w:marRight w:val="0"/>
      <w:marTop w:val="0"/>
      <w:marBottom w:val="0"/>
      <w:divBdr>
        <w:top w:val="none" w:sz="0" w:space="0" w:color="auto"/>
        <w:left w:val="none" w:sz="0" w:space="0" w:color="auto"/>
        <w:bottom w:val="none" w:sz="0" w:space="0" w:color="auto"/>
        <w:right w:val="none" w:sz="0" w:space="0" w:color="auto"/>
      </w:divBdr>
    </w:div>
    <w:div w:id="21174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france.gouv.fr/eli/decret/2016/12/1/AFSP1618497D/jo/text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paca.ars.sante.fr/reseau-regional-de-vigilance-et-dappu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ca.ars.sante.fr/hemovigilance-et-securite-transfusionnelle-2"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emovigilance-cncr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Livret élaboré par la cellule régionale d’hémovigilance PACA et destiné à être transmis au correspondant d’hémovigilance en établissement de santé lors de sa prise de fonction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8D461D-0B48-4016-AA2C-203C8ACE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1430</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LIVRET D’ACCUEIL DU CORRESPONDANT HEMOVIGILANCE D’ETABLISSEMENT DE SANTE</vt:lpstr>
    </vt:vector>
  </TitlesOfParts>
  <Company>DSPE - VSS - RREVA - Cellule régionale d’hémovigilance PACA</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D’ACCUEIL DU CORRESPONDANT HEMOVIGILANCE D’ETABLISSEMENT DE SANTE</dc:title>
  <dc:subject>Prise de fonction CHV</dc:subject>
  <dc:creator>JMB</dc:creator>
  <cp:lastModifiedBy>olemaire</cp:lastModifiedBy>
  <cp:revision>2</cp:revision>
  <dcterms:created xsi:type="dcterms:W3CDTF">2018-11-09T15:02:00Z</dcterms:created>
  <dcterms:modified xsi:type="dcterms:W3CDTF">2018-11-09T15:02:00Z</dcterms:modified>
</cp:coreProperties>
</file>